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FB2" w:rsidRPr="004C2FB2" w:rsidRDefault="004C2FB2" w:rsidP="004C2FB2">
      <w:pPr>
        <w:spacing w:before="100" w:beforeAutospacing="1" w:after="100" w:afterAutospacing="1" w:line="240" w:lineRule="auto"/>
        <w:outlineLvl w:val="1"/>
        <w:rPr>
          <w:rFonts w:ascii="Arial" w:eastAsia="Times New Roman" w:hAnsi="Arial" w:cs="Arial"/>
          <w:b/>
          <w:color w:val="333333"/>
          <w:sz w:val="36"/>
          <w:szCs w:val="36"/>
          <w:shd w:val="clear" w:color="auto" w:fill="FFA758"/>
        </w:rPr>
      </w:pPr>
      <w:r w:rsidRPr="004C2FB2">
        <w:rPr>
          <w:rFonts w:ascii="Arial" w:eastAsia="Times New Roman" w:hAnsi="Arial" w:cs="Arial"/>
          <w:b/>
          <w:color w:val="333333"/>
          <w:sz w:val="36"/>
          <w:szCs w:val="36"/>
          <w:shd w:val="clear" w:color="auto" w:fill="FFA758"/>
        </w:rPr>
        <w:t>Section 1 Tables</w:t>
      </w:r>
    </w:p>
    <w:p w:rsidR="004C2FB2" w:rsidRPr="004C2FB2" w:rsidRDefault="004C2FB2" w:rsidP="004C2FB2">
      <w:pPr>
        <w:spacing w:before="100" w:beforeAutospacing="1" w:after="100" w:afterAutospacing="1" w:line="240" w:lineRule="auto"/>
        <w:outlineLvl w:val="1"/>
        <w:rPr>
          <w:rFonts w:ascii="Arial" w:eastAsia="Times New Roman" w:hAnsi="Arial" w:cs="Arial"/>
          <w:color w:val="333333"/>
          <w:sz w:val="36"/>
          <w:szCs w:val="36"/>
        </w:rPr>
      </w:pPr>
      <w:r w:rsidRPr="004C2FB2">
        <w:rPr>
          <w:rFonts w:ascii="Arial" w:eastAsia="Times New Roman" w:hAnsi="Arial" w:cs="Arial"/>
          <w:color w:val="333333"/>
          <w:sz w:val="36"/>
          <w:szCs w:val="36"/>
          <w:shd w:val="clear" w:color="auto" w:fill="FFA758"/>
        </w:rPr>
        <w:t>4.1</w:t>
      </w:r>
      <w:r w:rsidRPr="004C2FB2">
        <w:rPr>
          <w:rFonts w:ascii="Arial" w:eastAsia="Times New Roman" w:hAnsi="Arial" w:cs="Arial"/>
          <w:color w:val="333333"/>
          <w:sz w:val="36"/>
          <w:szCs w:val="36"/>
        </w:rPr>
        <w:t> Roles and Boundaries</w:t>
      </w:r>
    </w:p>
    <w:p w:rsidR="004C2FB2" w:rsidRPr="004C2FB2" w:rsidRDefault="004C2FB2" w:rsidP="004C2FB2">
      <w:pPr>
        <w:spacing w:line="240" w:lineRule="auto"/>
        <w:rPr>
          <w:rFonts w:ascii="Georgia" w:eastAsia="Times New Roman" w:hAnsi="Georgia" w:cs="Times New Roman"/>
          <w:color w:val="333333"/>
          <w:sz w:val="23"/>
          <w:szCs w:val="23"/>
        </w:rPr>
      </w:pPr>
      <w:r w:rsidRPr="004C2FB2">
        <w:rPr>
          <w:rFonts w:ascii="Georgia" w:eastAsia="Times New Roman" w:hAnsi="Georgia" w:cs="Times New Roman"/>
          <w:color w:val="333333"/>
          <w:sz w:val="23"/>
          <w:szCs w:val="23"/>
        </w:rPr>
        <w:t>Organizations and humans can assume different types of pre-defined roles depending on how they relate to and/or interact with a cloud and its hosted IT resources. Each of the upcoming roles participates in and carries out responsibilities in relation to cloud-based activity. The following sections define these roles and identify their main interactions.</w:t>
      </w:r>
    </w:p>
    <w:p w:rsidR="004C2FB2" w:rsidRPr="004C2FB2" w:rsidRDefault="004C2FB2" w:rsidP="004C2FB2">
      <w:pPr>
        <w:spacing w:before="100" w:beforeAutospacing="1" w:after="100" w:afterAutospacing="1" w:line="240" w:lineRule="auto"/>
        <w:outlineLvl w:val="1"/>
        <w:rPr>
          <w:rFonts w:ascii="Arial" w:eastAsia="Times New Roman" w:hAnsi="Arial" w:cs="Arial"/>
          <w:sz w:val="36"/>
          <w:szCs w:val="36"/>
        </w:rPr>
      </w:pPr>
      <w:r w:rsidRPr="004C2FB2">
        <w:rPr>
          <w:rFonts w:ascii="Arial" w:eastAsia="Times New Roman" w:hAnsi="Arial" w:cs="Arial"/>
          <w:sz w:val="36"/>
          <w:szCs w:val="36"/>
        </w:rPr>
        <w:t>Cloud Provider</w:t>
      </w:r>
    </w:p>
    <w:p w:rsidR="004C2FB2" w:rsidRP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The organization that provides cloud-based IT resources is the </w:t>
      </w:r>
      <w:r w:rsidRPr="004C2FB2">
        <w:rPr>
          <w:rFonts w:ascii="Times New Roman" w:eastAsia="Times New Roman" w:hAnsi="Times New Roman" w:cs="Times New Roman"/>
          <w:i/>
          <w:iCs/>
          <w:sz w:val="24"/>
          <w:szCs w:val="24"/>
        </w:rPr>
        <w:t>cloud provider</w:t>
      </w:r>
      <w:r w:rsidRPr="004C2FB2">
        <w:rPr>
          <w:rFonts w:ascii="Times New Roman" w:eastAsia="Times New Roman" w:hAnsi="Times New Roman" w:cs="Times New Roman"/>
          <w:sz w:val="24"/>
          <w:szCs w:val="24"/>
        </w:rPr>
        <w:t>. When assuming the role of cloud provider, an organization is responsible for making cloud services available to cloud consumers, as per agreed upon SLA guarantees. The cloud provider is further tasked with any required management and administrative duties to ensure the on-going operation of the overall cloud infrastructure.</w:t>
      </w:r>
    </w:p>
    <w:p w:rsidR="004C2FB2" w:rsidRP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Cloud providers normally own the IT resources that are made available for lease by cloud consumers; however, some cloud providers also “resell” IT resources leased from other cloud providers.</w:t>
      </w:r>
    </w:p>
    <w:p w:rsidR="004C2FB2" w:rsidRPr="004C2FB2" w:rsidRDefault="004C2FB2" w:rsidP="004C2FB2">
      <w:pPr>
        <w:spacing w:before="100" w:beforeAutospacing="1" w:after="100" w:afterAutospacing="1" w:line="240" w:lineRule="auto"/>
        <w:outlineLvl w:val="1"/>
        <w:rPr>
          <w:rFonts w:ascii="Arial" w:eastAsia="Times New Roman" w:hAnsi="Arial" w:cs="Arial"/>
          <w:sz w:val="36"/>
          <w:szCs w:val="36"/>
        </w:rPr>
      </w:pPr>
      <w:r w:rsidRPr="004C2FB2">
        <w:rPr>
          <w:rFonts w:ascii="Arial" w:eastAsia="Times New Roman" w:hAnsi="Arial" w:cs="Arial"/>
          <w:sz w:val="36"/>
          <w:szCs w:val="36"/>
        </w:rPr>
        <w:t>Cloud Consumer</w:t>
      </w:r>
    </w:p>
    <w:p w:rsidR="004C2FB2" w:rsidRP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A </w:t>
      </w:r>
      <w:r w:rsidRPr="004C2FB2">
        <w:rPr>
          <w:rFonts w:ascii="Times New Roman" w:eastAsia="Times New Roman" w:hAnsi="Times New Roman" w:cs="Times New Roman"/>
          <w:i/>
          <w:iCs/>
          <w:sz w:val="24"/>
          <w:szCs w:val="24"/>
        </w:rPr>
        <w:t>cloud consumer</w:t>
      </w:r>
      <w:r w:rsidRPr="004C2FB2">
        <w:rPr>
          <w:rFonts w:ascii="Times New Roman" w:eastAsia="Times New Roman" w:hAnsi="Times New Roman" w:cs="Times New Roman"/>
          <w:sz w:val="24"/>
          <w:szCs w:val="24"/>
        </w:rPr>
        <w:t> is an organization (or a human) that has a formal contract or arrangement with a cloud provider to use IT resources made available by the cloud provider. Specifically, the cloud consumer uses a cloud service consumer to access a cloud service (</w:t>
      </w:r>
      <w:hyperlink r:id="rId5" w:anchor="eid6438" w:history="1">
        <w:r w:rsidRPr="004C2FB2">
          <w:rPr>
            <w:rFonts w:ascii="Times New Roman" w:eastAsia="Times New Roman" w:hAnsi="Times New Roman" w:cs="Times New Roman"/>
            <w:b/>
            <w:bCs/>
            <w:color w:val="0D8CD6"/>
            <w:sz w:val="24"/>
            <w:szCs w:val="24"/>
            <w:u w:val="single"/>
          </w:rPr>
          <w:t>Figure </w:t>
        </w:r>
        <w:r w:rsidRPr="004C2FB2">
          <w:rPr>
            <w:rFonts w:ascii="Times New Roman" w:eastAsia="Times New Roman" w:hAnsi="Times New Roman" w:cs="Times New Roman"/>
            <w:b/>
            <w:bCs/>
            <w:color w:val="0D8CD6"/>
            <w:sz w:val="24"/>
            <w:szCs w:val="24"/>
            <w:shd w:val="clear" w:color="auto" w:fill="FFA758"/>
          </w:rPr>
          <w:t>4.1</w:t>
        </w:r>
      </w:hyperlink>
      <w:r w:rsidRPr="004C2FB2">
        <w:rPr>
          <w:rFonts w:ascii="Times New Roman" w:eastAsia="Times New Roman" w:hAnsi="Times New Roman" w:cs="Times New Roman"/>
          <w:sz w:val="24"/>
          <w:szCs w:val="24"/>
        </w:rPr>
        <w:t>).</w:t>
      </w:r>
    </w:p>
    <w:p w:rsid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The figures in this book do not always explicitly label symbols as “cloud consumers.” Instead, it is generally implied that organizations or humans shown remotely accessing cloud-based IT resources are considered cloud consumers.</w:t>
      </w:r>
    </w:p>
    <w:p w:rsidR="004C2FB2" w:rsidRDefault="004C2FB2" w:rsidP="004C2FB2">
      <w:pPr>
        <w:spacing w:line="240" w:lineRule="auto"/>
        <w:rPr>
          <w:rFonts w:ascii="Times New Roman" w:eastAsia="Times New Roman" w:hAnsi="Times New Roman" w:cs="Times New Roman"/>
          <w:sz w:val="24"/>
          <w:szCs w:val="24"/>
        </w:rPr>
      </w:pPr>
      <w:r>
        <w:rPr>
          <w:noProof/>
        </w:rPr>
        <w:lastRenderedPageBreak/>
        <w:drawing>
          <wp:inline distT="0" distB="0" distL="0" distR="0" wp14:anchorId="2FD7A109" wp14:editId="5C9945D7">
            <wp:extent cx="5943600" cy="29089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908935"/>
                    </a:xfrm>
                    <a:prstGeom prst="rect">
                      <a:avLst/>
                    </a:prstGeom>
                  </pic:spPr>
                </pic:pic>
              </a:graphicData>
            </a:graphic>
          </wp:inline>
        </w:drawing>
      </w:r>
    </w:p>
    <w:p w:rsidR="004C2FB2" w:rsidRPr="004C2FB2" w:rsidRDefault="004C2FB2" w:rsidP="004C2FB2">
      <w:pPr>
        <w:shd w:val="clear" w:color="auto" w:fill="FFFFFF"/>
        <w:spacing w:before="100" w:beforeAutospacing="1" w:after="100" w:afterAutospacing="1" w:line="240" w:lineRule="auto"/>
        <w:outlineLvl w:val="1"/>
        <w:rPr>
          <w:rFonts w:ascii="Arial" w:eastAsia="Times New Roman" w:hAnsi="Arial" w:cs="Arial"/>
          <w:sz w:val="36"/>
          <w:szCs w:val="36"/>
        </w:rPr>
      </w:pPr>
      <w:r w:rsidRPr="004C2FB2">
        <w:rPr>
          <w:rFonts w:ascii="Arial" w:eastAsia="Times New Roman" w:hAnsi="Arial" w:cs="Arial"/>
          <w:sz w:val="36"/>
          <w:szCs w:val="36"/>
        </w:rPr>
        <w:t>NOTE</w:t>
      </w:r>
    </w:p>
    <w:p w:rsidR="004C2FB2" w:rsidRPr="004C2FB2" w:rsidRDefault="004C2FB2" w:rsidP="004C2FB2">
      <w:pPr>
        <w:shd w:val="clear" w:color="auto" w:fill="FFFFFF"/>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 xml:space="preserve">When depicting interaction scenarios between cloud-based IT resources and consumer organizations, there are no strict rules as to how the terms “cloud service consumer” and “cloud consumer” are used in this book. The former is usually used to label software programs or applications that programmatically interface with a cloud service’s technical contract or API. The latter term is </w:t>
      </w:r>
      <w:proofErr w:type="gramStart"/>
      <w:r w:rsidRPr="004C2FB2">
        <w:rPr>
          <w:rFonts w:ascii="Times New Roman" w:eastAsia="Times New Roman" w:hAnsi="Times New Roman" w:cs="Times New Roman"/>
          <w:sz w:val="24"/>
          <w:szCs w:val="24"/>
        </w:rPr>
        <w:t>more broad</w:t>
      </w:r>
      <w:proofErr w:type="gramEnd"/>
      <w:r w:rsidRPr="004C2FB2">
        <w:rPr>
          <w:rFonts w:ascii="Times New Roman" w:eastAsia="Times New Roman" w:hAnsi="Times New Roman" w:cs="Times New Roman"/>
          <w:sz w:val="24"/>
          <w:szCs w:val="24"/>
        </w:rPr>
        <w:t xml:space="preserve"> in that it can be used to label an organization, an individual accessing a user-interface, or a software program that assumes the role of cloud consumer when interacting with a cloud, a cloud-based IT resource, or a cloud provider. The broad applicability of the “cloud consumer” term is intentional as it allows it to be used in figures that explore different types of consumer-provider relationships within different technical and business contexts.</w:t>
      </w:r>
    </w:p>
    <w:p w:rsidR="004C2FB2" w:rsidRPr="004C2FB2" w:rsidRDefault="004C2FB2" w:rsidP="004C2FB2">
      <w:pPr>
        <w:spacing w:before="100" w:beforeAutospacing="1" w:after="100" w:afterAutospacing="1" w:line="240" w:lineRule="auto"/>
        <w:outlineLvl w:val="1"/>
        <w:rPr>
          <w:rFonts w:ascii="Arial" w:eastAsia="Times New Roman" w:hAnsi="Arial" w:cs="Arial"/>
          <w:sz w:val="36"/>
          <w:szCs w:val="36"/>
        </w:rPr>
      </w:pPr>
      <w:r w:rsidRPr="004C2FB2">
        <w:rPr>
          <w:rFonts w:ascii="Arial" w:eastAsia="Times New Roman" w:hAnsi="Arial" w:cs="Arial"/>
          <w:sz w:val="36"/>
          <w:szCs w:val="36"/>
        </w:rPr>
        <w:t>Cloud Service Owner</w:t>
      </w:r>
    </w:p>
    <w:p w:rsidR="004C2FB2" w:rsidRP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The person or organization that legally owns a cloud service is called a </w:t>
      </w:r>
      <w:r w:rsidRPr="004C2FB2">
        <w:rPr>
          <w:rFonts w:ascii="Times New Roman" w:eastAsia="Times New Roman" w:hAnsi="Times New Roman" w:cs="Times New Roman"/>
          <w:i/>
          <w:iCs/>
          <w:sz w:val="24"/>
          <w:szCs w:val="24"/>
        </w:rPr>
        <w:t>cloud service owner</w:t>
      </w:r>
      <w:r w:rsidRPr="004C2FB2">
        <w:rPr>
          <w:rFonts w:ascii="Times New Roman" w:eastAsia="Times New Roman" w:hAnsi="Times New Roman" w:cs="Times New Roman"/>
          <w:sz w:val="24"/>
          <w:szCs w:val="24"/>
        </w:rPr>
        <w:t>. The cloud service</w:t>
      </w:r>
      <w:r>
        <w:rPr>
          <w:rFonts w:ascii="Times New Roman" w:eastAsia="Times New Roman" w:hAnsi="Times New Roman" w:cs="Times New Roman"/>
          <w:sz w:val="24"/>
          <w:szCs w:val="24"/>
        </w:rPr>
        <w:t xml:space="preserve"> owner can be the cloud consume</w:t>
      </w:r>
      <w:r w:rsidRPr="004C2FB2">
        <w:rPr>
          <w:rFonts w:ascii="Times New Roman" w:eastAsia="Times New Roman" w:hAnsi="Times New Roman" w:cs="Times New Roman"/>
          <w:sz w:val="24"/>
          <w:szCs w:val="24"/>
        </w:rPr>
        <w:t xml:space="preserve"> or the cloud provider that owns the cloud within which the cloud service resides.</w:t>
      </w:r>
    </w:p>
    <w:p w:rsidR="004C2FB2" w:rsidRP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 xml:space="preserve">For example, either the cloud consumer of Cloud X or the cloud provider of Cloud X could own Cloud Service </w:t>
      </w:r>
      <w:proofErr w:type="gramStart"/>
      <w:r w:rsidRPr="004C2FB2">
        <w:rPr>
          <w:rFonts w:ascii="Times New Roman" w:eastAsia="Times New Roman" w:hAnsi="Times New Roman" w:cs="Times New Roman"/>
          <w:sz w:val="24"/>
          <w:szCs w:val="24"/>
        </w:rPr>
        <w:t>A</w:t>
      </w:r>
      <w:proofErr w:type="gramEnd"/>
      <w:r w:rsidRPr="004C2FB2">
        <w:rPr>
          <w:rFonts w:ascii="Times New Roman" w:eastAsia="Times New Roman" w:hAnsi="Times New Roman" w:cs="Times New Roman"/>
          <w:sz w:val="24"/>
          <w:szCs w:val="24"/>
        </w:rPr>
        <w:t xml:space="preserve"> (</w:t>
      </w:r>
      <w:hyperlink r:id="rId7" w:anchor="eid6458" w:history="1">
        <w:r w:rsidRPr="004C2FB2">
          <w:rPr>
            <w:rFonts w:ascii="Times New Roman" w:eastAsia="Times New Roman" w:hAnsi="Times New Roman" w:cs="Times New Roman"/>
            <w:b/>
            <w:bCs/>
            <w:color w:val="0D8CD6"/>
            <w:sz w:val="24"/>
            <w:szCs w:val="24"/>
            <w:u w:val="single"/>
          </w:rPr>
          <w:t>Figures 4.2</w:t>
        </w:r>
      </w:hyperlink>
      <w:r w:rsidRPr="004C2FB2">
        <w:rPr>
          <w:rFonts w:ascii="Times New Roman" w:eastAsia="Times New Roman" w:hAnsi="Times New Roman" w:cs="Times New Roman"/>
          <w:sz w:val="24"/>
          <w:szCs w:val="24"/>
        </w:rPr>
        <w:t> and </w:t>
      </w:r>
      <w:hyperlink r:id="rId8" w:anchor="eid6463" w:history="1">
        <w:r w:rsidRPr="004C2FB2">
          <w:rPr>
            <w:rFonts w:ascii="Times New Roman" w:eastAsia="Times New Roman" w:hAnsi="Times New Roman" w:cs="Times New Roman"/>
            <w:b/>
            <w:bCs/>
            <w:color w:val="0D8CD6"/>
            <w:sz w:val="24"/>
            <w:szCs w:val="24"/>
            <w:u w:val="single"/>
          </w:rPr>
          <w:t>4.3</w:t>
        </w:r>
      </w:hyperlink>
      <w:r w:rsidRPr="004C2FB2">
        <w:rPr>
          <w:rFonts w:ascii="Times New Roman" w:eastAsia="Times New Roman" w:hAnsi="Times New Roman" w:cs="Times New Roman"/>
          <w:sz w:val="24"/>
          <w:szCs w:val="24"/>
        </w:rPr>
        <w:t>).</w:t>
      </w:r>
    </w:p>
    <w:p w:rsidR="004C2FB2" w:rsidRP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Note that a cloud consumer that owns a cloud service hosted by a third-party cloud does not necessarily need to be the user (or consumer) of the cloud service. Several cloud consumer organizations develop and deploy cloud services in clouds owned by other parties for the purpose of making the cloud services available to the general public.</w:t>
      </w:r>
    </w:p>
    <w:p w:rsidR="004C2FB2" w:rsidRP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lastRenderedPageBreak/>
        <w:t>The reason a cloud service owner is not called a cloud resource owner is because the cloud service owner role only applies to cloud services (which, as explained in </w:t>
      </w:r>
      <w:hyperlink r:id="rId9" w:anchor="eid5810" w:history="1">
        <w:r w:rsidRPr="004C2FB2">
          <w:rPr>
            <w:rFonts w:ascii="Times New Roman" w:eastAsia="Times New Roman" w:hAnsi="Times New Roman" w:cs="Times New Roman"/>
            <w:b/>
            <w:bCs/>
            <w:color w:val="0D8CD6"/>
            <w:sz w:val="24"/>
            <w:szCs w:val="24"/>
            <w:u w:val="single"/>
          </w:rPr>
          <w:t>Chapter 3</w:t>
        </w:r>
      </w:hyperlink>
      <w:r w:rsidRPr="004C2FB2">
        <w:rPr>
          <w:rFonts w:ascii="Times New Roman" w:eastAsia="Times New Roman" w:hAnsi="Times New Roman" w:cs="Times New Roman"/>
          <w:sz w:val="24"/>
          <w:szCs w:val="24"/>
        </w:rPr>
        <w:t>, are externally accessible IT resources that reside in a cloud).</w:t>
      </w:r>
    </w:p>
    <w:p w:rsidR="004C2FB2" w:rsidRDefault="004C2FB2" w:rsidP="004C2FB2">
      <w:pPr>
        <w:spacing w:line="240" w:lineRule="auto"/>
        <w:rPr>
          <w:rFonts w:ascii="Times New Roman" w:eastAsia="Times New Roman" w:hAnsi="Times New Roman" w:cs="Times New Roman"/>
          <w:sz w:val="24"/>
          <w:szCs w:val="24"/>
        </w:rPr>
      </w:pPr>
      <w:r>
        <w:rPr>
          <w:noProof/>
        </w:rPr>
        <w:drawing>
          <wp:inline distT="0" distB="0" distL="0" distR="0" wp14:anchorId="53C8CEF8" wp14:editId="3FFEE43C">
            <wp:extent cx="5943600" cy="4829810"/>
            <wp:effectExtent l="0" t="0" r="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829810"/>
                    </a:xfrm>
                    <a:prstGeom prst="rect">
                      <a:avLst/>
                    </a:prstGeom>
                  </pic:spPr>
                </pic:pic>
              </a:graphicData>
            </a:graphic>
          </wp:inline>
        </w:drawing>
      </w:r>
    </w:p>
    <w:p w:rsidR="004C2FB2" w:rsidRPr="004C2FB2" w:rsidRDefault="004C2FB2" w:rsidP="004C2FB2">
      <w:pPr>
        <w:spacing w:before="100" w:beforeAutospacing="1" w:after="100" w:afterAutospacing="1" w:line="240" w:lineRule="auto"/>
        <w:outlineLvl w:val="1"/>
        <w:rPr>
          <w:rFonts w:ascii="Arial" w:eastAsia="Times New Roman" w:hAnsi="Arial" w:cs="Arial"/>
          <w:color w:val="333333"/>
          <w:sz w:val="36"/>
          <w:szCs w:val="36"/>
          <w:shd w:val="clear" w:color="auto" w:fill="FFA758"/>
        </w:rPr>
      </w:pPr>
    </w:p>
    <w:p w:rsidR="004C2FB2" w:rsidRDefault="004C2FB2" w:rsidP="004C2FB2">
      <w:pPr>
        <w:spacing w:before="100" w:beforeAutospacing="1" w:after="100" w:afterAutospacing="1" w:line="240" w:lineRule="auto"/>
        <w:outlineLvl w:val="1"/>
        <w:rPr>
          <w:rFonts w:ascii="Arial" w:eastAsia="Times New Roman" w:hAnsi="Arial" w:cs="Arial"/>
          <w:b/>
          <w:color w:val="333333"/>
          <w:sz w:val="36"/>
          <w:szCs w:val="36"/>
          <w:shd w:val="clear" w:color="auto" w:fill="FFA758"/>
        </w:rPr>
      </w:pPr>
    </w:p>
    <w:p w:rsidR="004C2FB2" w:rsidRDefault="004C2FB2" w:rsidP="004C2FB2">
      <w:pPr>
        <w:spacing w:before="100" w:beforeAutospacing="1" w:after="100" w:afterAutospacing="1" w:line="240" w:lineRule="auto"/>
        <w:outlineLvl w:val="1"/>
        <w:rPr>
          <w:rFonts w:ascii="Arial" w:eastAsia="Times New Roman" w:hAnsi="Arial" w:cs="Arial"/>
          <w:b/>
          <w:color w:val="333333"/>
          <w:sz w:val="36"/>
          <w:szCs w:val="36"/>
          <w:shd w:val="clear" w:color="auto" w:fill="FFA758"/>
        </w:rPr>
      </w:pPr>
    </w:p>
    <w:p w:rsidR="004C2FB2" w:rsidRDefault="004C2FB2" w:rsidP="004C2FB2">
      <w:pPr>
        <w:spacing w:before="100" w:beforeAutospacing="1" w:after="100" w:afterAutospacing="1" w:line="240" w:lineRule="auto"/>
        <w:outlineLvl w:val="1"/>
        <w:rPr>
          <w:rFonts w:ascii="Arial" w:eastAsia="Times New Roman" w:hAnsi="Arial" w:cs="Arial"/>
          <w:b/>
          <w:color w:val="333333"/>
          <w:sz w:val="36"/>
          <w:szCs w:val="36"/>
          <w:shd w:val="clear" w:color="auto" w:fill="FFA758"/>
        </w:rPr>
      </w:pPr>
    </w:p>
    <w:p w:rsidR="004C2FB2" w:rsidRDefault="004C2FB2" w:rsidP="004C2FB2">
      <w:pPr>
        <w:spacing w:before="100" w:beforeAutospacing="1" w:after="100" w:afterAutospacing="1" w:line="240" w:lineRule="auto"/>
        <w:outlineLvl w:val="1"/>
        <w:rPr>
          <w:rFonts w:ascii="Arial" w:eastAsia="Times New Roman" w:hAnsi="Arial" w:cs="Arial"/>
          <w:b/>
          <w:color w:val="333333"/>
          <w:sz w:val="36"/>
          <w:szCs w:val="36"/>
          <w:shd w:val="clear" w:color="auto" w:fill="FFA758"/>
        </w:rPr>
      </w:pPr>
    </w:p>
    <w:p w:rsidR="004C2FB2" w:rsidRDefault="004C2FB2" w:rsidP="004C2FB2">
      <w:pPr>
        <w:spacing w:before="100" w:beforeAutospacing="1" w:after="100" w:afterAutospacing="1" w:line="240" w:lineRule="auto"/>
        <w:outlineLvl w:val="1"/>
        <w:rPr>
          <w:rFonts w:ascii="Arial" w:eastAsia="Times New Roman" w:hAnsi="Arial" w:cs="Arial"/>
          <w:b/>
          <w:color w:val="333333"/>
          <w:sz w:val="36"/>
          <w:szCs w:val="36"/>
          <w:shd w:val="clear" w:color="auto" w:fill="FFA758"/>
        </w:rPr>
      </w:pPr>
    </w:p>
    <w:p w:rsidR="004C2FB2" w:rsidRPr="004C2FB2" w:rsidRDefault="004C2FB2" w:rsidP="004C2FB2">
      <w:pPr>
        <w:spacing w:before="100" w:beforeAutospacing="1" w:after="100" w:afterAutospacing="1" w:line="240" w:lineRule="auto"/>
        <w:outlineLvl w:val="1"/>
        <w:rPr>
          <w:rFonts w:ascii="Arial" w:eastAsia="Times New Roman" w:hAnsi="Arial" w:cs="Arial"/>
          <w:b/>
          <w:color w:val="333333"/>
          <w:sz w:val="36"/>
          <w:szCs w:val="36"/>
          <w:shd w:val="clear" w:color="auto" w:fill="FFA758"/>
        </w:rPr>
      </w:pPr>
      <w:r w:rsidRPr="004C2FB2">
        <w:rPr>
          <w:rFonts w:ascii="Arial" w:eastAsia="Times New Roman" w:hAnsi="Arial" w:cs="Arial"/>
          <w:b/>
          <w:color w:val="333333"/>
          <w:sz w:val="36"/>
          <w:szCs w:val="36"/>
          <w:shd w:val="clear" w:color="auto" w:fill="FFA758"/>
        </w:rPr>
        <w:lastRenderedPageBreak/>
        <w:t xml:space="preserve">Section 3 </w:t>
      </w:r>
    </w:p>
    <w:p w:rsidR="004C2FB2" w:rsidRPr="004C2FB2" w:rsidRDefault="004C2FB2" w:rsidP="004C2FB2">
      <w:pPr>
        <w:spacing w:before="100" w:beforeAutospacing="1" w:after="100" w:afterAutospacing="1" w:line="240" w:lineRule="auto"/>
        <w:outlineLvl w:val="1"/>
        <w:rPr>
          <w:rFonts w:ascii="Arial" w:eastAsia="Times New Roman" w:hAnsi="Arial" w:cs="Arial"/>
          <w:color w:val="333333"/>
          <w:sz w:val="36"/>
          <w:szCs w:val="36"/>
        </w:rPr>
      </w:pPr>
      <w:r w:rsidRPr="004C2FB2">
        <w:rPr>
          <w:rFonts w:ascii="Arial" w:eastAsia="Times New Roman" w:hAnsi="Arial" w:cs="Arial"/>
          <w:color w:val="333333"/>
          <w:sz w:val="36"/>
          <w:szCs w:val="36"/>
          <w:shd w:val="clear" w:color="auto" w:fill="FFA758"/>
        </w:rPr>
        <w:t>Polling</w:t>
      </w:r>
      <w:r w:rsidRPr="004C2FB2">
        <w:rPr>
          <w:rFonts w:ascii="Arial" w:eastAsia="Times New Roman" w:hAnsi="Arial" w:cs="Arial"/>
          <w:color w:val="333333"/>
          <w:sz w:val="36"/>
          <w:szCs w:val="36"/>
        </w:rPr>
        <w:t> Agent</w:t>
      </w:r>
    </w:p>
    <w:p w:rsidR="004C2FB2" w:rsidRDefault="004C2FB2" w:rsidP="004C2FB2">
      <w:pPr>
        <w:spacing w:line="240" w:lineRule="auto"/>
        <w:rPr>
          <w:rFonts w:ascii="Georgia" w:eastAsia="Times New Roman" w:hAnsi="Georgia" w:cs="Times New Roman"/>
          <w:color w:val="333333"/>
          <w:sz w:val="23"/>
          <w:szCs w:val="23"/>
        </w:rPr>
      </w:pPr>
      <w:r w:rsidRPr="004C2FB2">
        <w:rPr>
          <w:rFonts w:ascii="Georgia" w:eastAsia="Times New Roman" w:hAnsi="Georgia" w:cs="Times New Roman"/>
          <w:color w:val="333333"/>
          <w:sz w:val="23"/>
          <w:szCs w:val="23"/>
        </w:rPr>
        <w:t>A </w:t>
      </w:r>
      <w:r w:rsidRPr="004C2FB2">
        <w:rPr>
          <w:rFonts w:ascii="Georgia" w:eastAsia="Times New Roman" w:hAnsi="Georgia" w:cs="Times New Roman"/>
          <w:i/>
          <w:iCs/>
          <w:color w:val="333333"/>
          <w:sz w:val="23"/>
          <w:szCs w:val="23"/>
          <w:shd w:val="clear" w:color="auto" w:fill="FFA758"/>
        </w:rPr>
        <w:t>polling</w:t>
      </w:r>
      <w:r w:rsidRPr="004C2FB2">
        <w:rPr>
          <w:rFonts w:ascii="Georgia" w:eastAsia="Times New Roman" w:hAnsi="Georgia" w:cs="Times New Roman"/>
          <w:i/>
          <w:iCs/>
          <w:color w:val="333333"/>
          <w:sz w:val="23"/>
          <w:szCs w:val="23"/>
        </w:rPr>
        <w:t> agent</w:t>
      </w:r>
      <w:r w:rsidRPr="004C2FB2">
        <w:rPr>
          <w:rFonts w:ascii="Georgia" w:eastAsia="Times New Roman" w:hAnsi="Georgia" w:cs="Times New Roman"/>
          <w:color w:val="333333"/>
          <w:sz w:val="23"/>
          <w:szCs w:val="23"/>
        </w:rPr>
        <w:t> is a processing module that collects cloud service usage data by </w:t>
      </w:r>
      <w:r w:rsidRPr="004C2FB2">
        <w:rPr>
          <w:rFonts w:ascii="Georgia" w:eastAsia="Times New Roman" w:hAnsi="Georgia" w:cs="Times New Roman"/>
          <w:color w:val="333333"/>
          <w:sz w:val="23"/>
          <w:szCs w:val="23"/>
          <w:shd w:val="clear" w:color="auto" w:fill="FFA758"/>
        </w:rPr>
        <w:t>polling</w:t>
      </w:r>
      <w:r w:rsidRPr="004C2FB2">
        <w:rPr>
          <w:rFonts w:ascii="Georgia" w:eastAsia="Times New Roman" w:hAnsi="Georgia" w:cs="Times New Roman"/>
          <w:color w:val="333333"/>
          <w:sz w:val="23"/>
          <w:szCs w:val="23"/>
        </w:rPr>
        <w:t> IT resources. This type of cloud service monitor is commonly used to periodically monitor IT resource status, such as uptime and downtime (</w:t>
      </w:r>
      <w:hyperlink r:id="rId11" w:anchor="eid8581" w:history="1">
        <w:r w:rsidRPr="004C2FB2">
          <w:rPr>
            <w:rFonts w:ascii="Georgia" w:eastAsia="Times New Roman" w:hAnsi="Georgia" w:cs="Times New Roman"/>
            <w:b/>
            <w:bCs/>
            <w:color w:val="0D8CD6"/>
            <w:sz w:val="23"/>
            <w:szCs w:val="23"/>
            <w:u w:val="single"/>
          </w:rPr>
          <w:t>Figure 7.14</w:t>
        </w:r>
      </w:hyperlink>
      <w:r w:rsidRPr="004C2FB2">
        <w:rPr>
          <w:rFonts w:ascii="Georgia" w:eastAsia="Times New Roman" w:hAnsi="Georgia" w:cs="Times New Roman"/>
          <w:color w:val="333333"/>
          <w:sz w:val="23"/>
          <w:szCs w:val="23"/>
        </w:rPr>
        <w:t>).</w:t>
      </w:r>
    </w:p>
    <w:p w:rsidR="004C2FB2" w:rsidRDefault="004C2FB2" w:rsidP="004C2FB2">
      <w:pPr>
        <w:spacing w:line="240" w:lineRule="auto"/>
        <w:rPr>
          <w:rFonts w:ascii="Georgia" w:eastAsia="Times New Roman" w:hAnsi="Georgia" w:cs="Times New Roman"/>
          <w:color w:val="333333"/>
          <w:sz w:val="23"/>
          <w:szCs w:val="23"/>
        </w:rPr>
      </w:pPr>
      <w:r>
        <w:rPr>
          <w:noProof/>
        </w:rPr>
        <w:drawing>
          <wp:inline distT="0" distB="0" distL="0" distR="0" wp14:anchorId="6BB8B23E" wp14:editId="239B6021">
            <wp:extent cx="5943600" cy="372173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721735"/>
                    </a:xfrm>
                    <a:prstGeom prst="rect">
                      <a:avLst/>
                    </a:prstGeom>
                  </pic:spPr>
                </pic:pic>
              </a:graphicData>
            </a:graphic>
          </wp:inline>
        </w:drawing>
      </w:r>
    </w:p>
    <w:p w:rsidR="004C2FB2" w:rsidRDefault="004C2FB2" w:rsidP="004C2FB2">
      <w:pPr>
        <w:spacing w:line="240" w:lineRule="auto"/>
        <w:rPr>
          <w:rFonts w:ascii="Georgia" w:eastAsia="Times New Roman" w:hAnsi="Georgia" w:cs="Times New Roman"/>
          <w:color w:val="333333"/>
          <w:sz w:val="23"/>
          <w:szCs w:val="23"/>
        </w:rPr>
      </w:pPr>
    </w:p>
    <w:p w:rsidR="004C2FB2" w:rsidRDefault="004C2FB2" w:rsidP="004C2FB2">
      <w:pPr>
        <w:spacing w:line="240" w:lineRule="auto"/>
        <w:rPr>
          <w:rFonts w:ascii="Georgia" w:eastAsia="Times New Roman" w:hAnsi="Georgia" w:cs="Times New Roman"/>
          <w:color w:val="333333"/>
          <w:sz w:val="23"/>
          <w:szCs w:val="23"/>
        </w:rPr>
      </w:pPr>
    </w:p>
    <w:p w:rsidR="004C2FB2" w:rsidRDefault="004C2FB2" w:rsidP="004C2FB2">
      <w:pPr>
        <w:spacing w:line="240" w:lineRule="auto"/>
        <w:rPr>
          <w:rFonts w:ascii="Georgia" w:eastAsia="Times New Roman" w:hAnsi="Georgia" w:cs="Times New Roman"/>
          <w:color w:val="333333"/>
          <w:sz w:val="23"/>
          <w:szCs w:val="23"/>
        </w:rPr>
      </w:pPr>
    </w:p>
    <w:p w:rsidR="004C2FB2" w:rsidRPr="004C2FB2" w:rsidRDefault="004C2FB2" w:rsidP="004C2FB2">
      <w:pPr>
        <w:spacing w:line="240" w:lineRule="auto"/>
        <w:rPr>
          <w:rFonts w:ascii="Georgia" w:eastAsia="Times New Roman" w:hAnsi="Georgia" w:cs="Times New Roman"/>
          <w:color w:val="333333"/>
          <w:sz w:val="23"/>
          <w:szCs w:val="23"/>
        </w:rPr>
      </w:pPr>
      <w:r w:rsidRPr="004C2FB2">
        <w:rPr>
          <w:rFonts w:ascii="Georgia" w:eastAsia="Times New Roman" w:hAnsi="Georgia" w:cs="Times New Roman"/>
          <w:color w:val="333333"/>
          <w:sz w:val="23"/>
          <w:szCs w:val="23"/>
        </w:rPr>
        <w:t>Figure 7.14 A polling agent monitors the status of a cloud service hosted by a virtual server by sending periodic polling request messages and receiving polling response messages that report usage status “A” after a number of polling cycles, until it receives a usage status of “B” (1), upon which the polling agent records the new usage status in the log database (2)</w:t>
      </w:r>
    </w:p>
    <w:p w:rsidR="004C2FB2" w:rsidRDefault="004C2FB2" w:rsidP="004C2FB2">
      <w:pPr>
        <w:spacing w:line="240" w:lineRule="auto"/>
        <w:rPr>
          <w:rFonts w:ascii="Times New Roman" w:eastAsia="Times New Roman" w:hAnsi="Times New Roman" w:cs="Times New Roman"/>
          <w:sz w:val="24"/>
          <w:szCs w:val="24"/>
        </w:rPr>
      </w:pPr>
    </w:p>
    <w:p w:rsidR="004C2FB2" w:rsidRDefault="004C2FB2" w:rsidP="004C2FB2">
      <w:pPr>
        <w:spacing w:line="240" w:lineRule="auto"/>
        <w:rPr>
          <w:rFonts w:ascii="Times New Roman" w:eastAsia="Times New Roman" w:hAnsi="Times New Roman" w:cs="Times New Roman"/>
          <w:sz w:val="24"/>
          <w:szCs w:val="24"/>
        </w:rPr>
      </w:pPr>
    </w:p>
    <w:p w:rsidR="004C2FB2" w:rsidRDefault="004C2FB2" w:rsidP="004C2FB2">
      <w:pPr>
        <w:pStyle w:val="Heading2"/>
        <w:rPr>
          <w:rFonts w:ascii="Arial" w:hAnsi="Arial" w:cs="Arial"/>
          <w:b w:val="0"/>
          <w:bCs w:val="0"/>
          <w:color w:val="333333"/>
        </w:rPr>
      </w:pPr>
    </w:p>
    <w:p w:rsidR="004C2FB2" w:rsidRDefault="004C2FB2" w:rsidP="004C2FB2">
      <w:pPr>
        <w:pStyle w:val="Heading2"/>
        <w:rPr>
          <w:rFonts w:ascii="Arial" w:hAnsi="Arial" w:cs="Arial"/>
          <w:b w:val="0"/>
          <w:bCs w:val="0"/>
          <w:color w:val="333333"/>
        </w:rPr>
      </w:pPr>
    </w:p>
    <w:p w:rsidR="004C2FB2" w:rsidRDefault="004C2FB2" w:rsidP="004C2FB2">
      <w:pPr>
        <w:pStyle w:val="Heading2"/>
        <w:rPr>
          <w:rFonts w:ascii="Arial" w:hAnsi="Arial" w:cs="Arial"/>
          <w:b w:val="0"/>
          <w:bCs w:val="0"/>
          <w:color w:val="333333"/>
        </w:rPr>
      </w:pPr>
    </w:p>
    <w:p w:rsidR="004C2FB2" w:rsidRDefault="004C2FB2" w:rsidP="004C2FB2">
      <w:pPr>
        <w:pStyle w:val="Heading2"/>
        <w:rPr>
          <w:rFonts w:ascii="Arial" w:hAnsi="Arial" w:cs="Arial"/>
          <w:b w:val="0"/>
          <w:bCs w:val="0"/>
          <w:color w:val="333333"/>
        </w:rPr>
      </w:pPr>
      <w:r>
        <w:rPr>
          <w:rFonts w:ascii="Arial" w:hAnsi="Arial" w:cs="Arial"/>
          <w:b w:val="0"/>
          <w:bCs w:val="0"/>
          <w:color w:val="333333"/>
        </w:rPr>
        <w:t>CASE STUDY EXAMPLE</w:t>
      </w:r>
    </w:p>
    <w:p w:rsidR="004C2FB2" w:rsidRDefault="004C2FB2" w:rsidP="004C2FB2">
      <w:pPr>
        <w:rPr>
          <w:rFonts w:ascii="Georgia" w:hAnsi="Georgia" w:cs="Times New Roman"/>
          <w:color w:val="333333"/>
          <w:sz w:val="23"/>
          <w:szCs w:val="23"/>
        </w:rPr>
      </w:pPr>
      <w:r>
        <w:rPr>
          <w:rFonts w:ascii="Georgia" w:hAnsi="Georgia"/>
          <w:color w:val="333333"/>
          <w:sz w:val="23"/>
          <w:szCs w:val="23"/>
        </w:rPr>
        <w:t>The standard SLA for virtual servers in DTGOV’s leasing agreements defines a minimum IT resource availability of 99.95%, which is tracked using two SLA monitors: one based on a polling agent and the other based on a </w:t>
      </w:r>
      <w:r>
        <w:rPr>
          <w:rStyle w:val="vst-search-term"/>
          <w:rFonts w:ascii="Georgia" w:hAnsi="Georgia"/>
          <w:color w:val="333333"/>
          <w:sz w:val="23"/>
          <w:szCs w:val="23"/>
          <w:shd w:val="clear" w:color="auto" w:fill="FFA758"/>
        </w:rPr>
        <w:t>regular</w:t>
      </w:r>
      <w:r>
        <w:rPr>
          <w:rFonts w:ascii="Georgia" w:hAnsi="Georgia"/>
          <w:color w:val="333333"/>
          <w:sz w:val="23"/>
          <w:szCs w:val="23"/>
        </w:rPr>
        <w:t> monitoring agent implementation.</w:t>
      </w:r>
    </w:p>
    <w:p w:rsidR="004C2FB2" w:rsidRDefault="004C2FB2" w:rsidP="004C2FB2">
      <w:pPr>
        <w:rPr>
          <w:rFonts w:ascii="Georgia" w:hAnsi="Georgia"/>
          <w:color w:val="333333"/>
          <w:sz w:val="23"/>
          <w:szCs w:val="23"/>
        </w:rPr>
      </w:pPr>
      <w:r>
        <w:rPr>
          <w:rStyle w:val="bi"/>
          <w:rFonts w:ascii="Georgia" w:hAnsi="Georgia"/>
          <w:b/>
          <w:bCs/>
          <w:i/>
          <w:iCs/>
          <w:color w:val="333333"/>
          <w:sz w:val="23"/>
          <w:szCs w:val="23"/>
        </w:rPr>
        <w:t>SLA Monitor Polling Agent</w:t>
      </w:r>
    </w:p>
    <w:p w:rsidR="004C2FB2" w:rsidRDefault="004C2FB2" w:rsidP="004C2FB2">
      <w:pPr>
        <w:rPr>
          <w:rFonts w:ascii="Georgia" w:hAnsi="Georgia"/>
          <w:color w:val="333333"/>
          <w:sz w:val="23"/>
          <w:szCs w:val="23"/>
        </w:rPr>
      </w:pPr>
      <w:r>
        <w:rPr>
          <w:rFonts w:ascii="Georgia" w:hAnsi="Georgia"/>
          <w:color w:val="333333"/>
          <w:sz w:val="23"/>
          <w:szCs w:val="23"/>
        </w:rPr>
        <w:t>DTGOV’s polling SLA monitor runs in the external perimeter network to detect physical server timeouts. It is able to identify data center network, hardware, and software failures (with minute-granularity) that result in physical server non-responsiveness. Three consecutive timeouts of 20-second polling periods are required to declare IT resource unavailability.</w:t>
      </w:r>
    </w:p>
    <w:p w:rsidR="004C2FB2" w:rsidRDefault="004C2FB2" w:rsidP="004C2FB2">
      <w:pPr>
        <w:rPr>
          <w:rFonts w:ascii="Georgia" w:hAnsi="Georgia"/>
          <w:color w:val="333333"/>
          <w:sz w:val="23"/>
          <w:szCs w:val="23"/>
        </w:rPr>
      </w:pPr>
      <w:r>
        <w:rPr>
          <w:rFonts w:ascii="Georgia" w:hAnsi="Georgia"/>
          <w:color w:val="333333"/>
          <w:sz w:val="23"/>
          <w:szCs w:val="23"/>
        </w:rPr>
        <w:t>Three types of events are generated:</w:t>
      </w:r>
    </w:p>
    <w:p w:rsidR="004C2FB2" w:rsidRDefault="004C2FB2" w:rsidP="004C2FB2">
      <w:pPr>
        <w:numPr>
          <w:ilvl w:val="0"/>
          <w:numId w:val="1"/>
        </w:numPr>
        <w:spacing w:after="0" w:line="240" w:lineRule="auto"/>
        <w:ind w:left="300"/>
        <w:textAlignment w:val="baseline"/>
        <w:rPr>
          <w:rFonts w:ascii="inherit" w:hAnsi="inherit"/>
          <w:color w:val="333333"/>
          <w:sz w:val="23"/>
          <w:szCs w:val="23"/>
        </w:rPr>
      </w:pPr>
      <w:r>
        <w:rPr>
          <w:rStyle w:val="label-inner"/>
          <w:rFonts w:ascii="inherit" w:hAnsi="inherit"/>
          <w:color w:val="333333"/>
          <w:sz w:val="23"/>
          <w:szCs w:val="23"/>
        </w:rPr>
        <w:t>•</w:t>
      </w:r>
      <w:r>
        <w:rPr>
          <w:rFonts w:ascii="inherit" w:hAnsi="inherit"/>
          <w:color w:val="333333"/>
          <w:sz w:val="23"/>
          <w:szCs w:val="23"/>
        </w:rPr>
        <w:t> </w:t>
      </w:r>
      <w:proofErr w:type="spellStart"/>
      <w:r>
        <w:rPr>
          <w:rStyle w:val="item"/>
          <w:rFonts w:ascii="inherit" w:hAnsi="inherit"/>
          <w:i/>
          <w:iCs/>
          <w:color w:val="333333"/>
          <w:sz w:val="23"/>
          <w:szCs w:val="23"/>
        </w:rPr>
        <w:t>PS_Timeout</w:t>
      </w:r>
      <w:proofErr w:type="spellEnd"/>
      <w:r>
        <w:rPr>
          <w:rStyle w:val="item"/>
          <w:rFonts w:ascii="inherit" w:hAnsi="inherit"/>
          <w:color w:val="333333"/>
          <w:sz w:val="23"/>
          <w:szCs w:val="23"/>
        </w:rPr>
        <w:t> – the physical server polling has timed out</w:t>
      </w:r>
    </w:p>
    <w:p w:rsidR="004C2FB2" w:rsidRDefault="004C2FB2" w:rsidP="004C2FB2">
      <w:pPr>
        <w:numPr>
          <w:ilvl w:val="0"/>
          <w:numId w:val="1"/>
        </w:numPr>
        <w:spacing w:after="0" w:line="240" w:lineRule="auto"/>
        <w:ind w:left="300"/>
        <w:textAlignment w:val="baseline"/>
        <w:rPr>
          <w:rFonts w:ascii="inherit" w:hAnsi="inherit"/>
          <w:color w:val="333333"/>
          <w:sz w:val="23"/>
          <w:szCs w:val="23"/>
        </w:rPr>
      </w:pPr>
      <w:r>
        <w:rPr>
          <w:rStyle w:val="label-inner"/>
          <w:rFonts w:ascii="inherit" w:hAnsi="inherit"/>
          <w:color w:val="333333"/>
          <w:sz w:val="23"/>
          <w:szCs w:val="23"/>
        </w:rPr>
        <w:t>•</w:t>
      </w:r>
      <w:r>
        <w:rPr>
          <w:rFonts w:ascii="inherit" w:hAnsi="inherit"/>
          <w:color w:val="333333"/>
          <w:sz w:val="23"/>
          <w:szCs w:val="23"/>
        </w:rPr>
        <w:t> </w:t>
      </w:r>
      <w:proofErr w:type="spellStart"/>
      <w:r>
        <w:rPr>
          <w:rStyle w:val="item"/>
          <w:rFonts w:ascii="inherit" w:hAnsi="inherit"/>
          <w:i/>
          <w:iCs/>
          <w:color w:val="333333"/>
          <w:sz w:val="23"/>
          <w:szCs w:val="23"/>
        </w:rPr>
        <w:t>PS_Unreachable</w:t>
      </w:r>
      <w:proofErr w:type="spellEnd"/>
      <w:r>
        <w:rPr>
          <w:rStyle w:val="item"/>
          <w:rFonts w:ascii="inherit" w:hAnsi="inherit"/>
          <w:color w:val="333333"/>
          <w:sz w:val="23"/>
          <w:szCs w:val="23"/>
        </w:rPr>
        <w:t> – the physical server polling has consecutively timed out three times</w:t>
      </w:r>
    </w:p>
    <w:p w:rsidR="004C2FB2" w:rsidRDefault="004C2FB2" w:rsidP="004C2FB2">
      <w:pPr>
        <w:numPr>
          <w:ilvl w:val="0"/>
          <w:numId w:val="1"/>
        </w:numPr>
        <w:spacing w:after="0" w:line="240" w:lineRule="auto"/>
        <w:ind w:left="300"/>
        <w:textAlignment w:val="baseline"/>
        <w:rPr>
          <w:rFonts w:ascii="inherit" w:hAnsi="inherit"/>
          <w:color w:val="333333"/>
          <w:sz w:val="23"/>
          <w:szCs w:val="23"/>
        </w:rPr>
      </w:pPr>
      <w:r>
        <w:rPr>
          <w:rStyle w:val="label-inner"/>
          <w:rFonts w:ascii="inherit" w:hAnsi="inherit"/>
          <w:color w:val="333333"/>
          <w:sz w:val="23"/>
          <w:szCs w:val="23"/>
        </w:rPr>
        <w:t>•</w:t>
      </w:r>
      <w:r>
        <w:rPr>
          <w:rFonts w:ascii="inherit" w:hAnsi="inherit"/>
          <w:color w:val="333333"/>
          <w:sz w:val="23"/>
          <w:szCs w:val="23"/>
        </w:rPr>
        <w:t> </w:t>
      </w:r>
      <w:proofErr w:type="spellStart"/>
      <w:r>
        <w:rPr>
          <w:rStyle w:val="item"/>
          <w:rFonts w:ascii="inherit" w:hAnsi="inherit"/>
          <w:i/>
          <w:iCs/>
          <w:color w:val="333333"/>
          <w:sz w:val="23"/>
          <w:szCs w:val="23"/>
        </w:rPr>
        <w:t>PS_Reachable</w:t>
      </w:r>
      <w:proofErr w:type="spellEnd"/>
      <w:r>
        <w:rPr>
          <w:rStyle w:val="item"/>
          <w:rFonts w:ascii="inherit" w:hAnsi="inherit"/>
          <w:color w:val="333333"/>
          <w:sz w:val="23"/>
          <w:szCs w:val="23"/>
        </w:rPr>
        <w:t> – the previously unavailable physical server becomes responsive to polling again</w:t>
      </w:r>
    </w:p>
    <w:p w:rsidR="004C2FB2" w:rsidRDefault="004C2FB2" w:rsidP="004C2FB2">
      <w:pPr>
        <w:rPr>
          <w:rFonts w:ascii="Georgia" w:hAnsi="Georgia"/>
          <w:color w:val="333333"/>
          <w:sz w:val="23"/>
          <w:szCs w:val="23"/>
        </w:rPr>
      </w:pPr>
      <w:r>
        <w:rPr>
          <w:rStyle w:val="bi"/>
          <w:rFonts w:ascii="Georgia" w:hAnsi="Georgia"/>
          <w:b/>
          <w:bCs/>
          <w:i/>
          <w:iCs/>
          <w:color w:val="333333"/>
          <w:sz w:val="23"/>
          <w:szCs w:val="23"/>
        </w:rPr>
        <w:t>SLA Monitoring Agent</w:t>
      </w:r>
    </w:p>
    <w:p w:rsidR="004C2FB2" w:rsidRDefault="004C2FB2" w:rsidP="004C2FB2">
      <w:pPr>
        <w:rPr>
          <w:rFonts w:ascii="Georgia" w:hAnsi="Georgia"/>
          <w:color w:val="333333"/>
          <w:sz w:val="23"/>
          <w:szCs w:val="23"/>
        </w:rPr>
      </w:pPr>
      <w:r>
        <w:rPr>
          <w:rFonts w:ascii="Georgia" w:hAnsi="Georgia"/>
          <w:color w:val="333333"/>
          <w:sz w:val="23"/>
          <w:szCs w:val="23"/>
        </w:rPr>
        <w:t>The VIM’s event-driven API implements the SLA monitor as a monitoring agent to generate the following three events:</w:t>
      </w:r>
    </w:p>
    <w:p w:rsidR="004C2FB2" w:rsidRDefault="004C2FB2" w:rsidP="004C2FB2">
      <w:pPr>
        <w:numPr>
          <w:ilvl w:val="0"/>
          <w:numId w:val="2"/>
        </w:numPr>
        <w:spacing w:after="0" w:line="240" w:lineRule="auto"/>
        <w:ind w:left="300"/>
        <w:textAlignment w:val="baseline"/>
        <w:rPr>
          <w:rFonts w:ascii="inherit" w:hAnsi="inherit"/>
          <w:color w:val="333333"/>
          <w:sz w:val="23"/>
          <w:szCs w:val="23"/>
        </w:rPr>
      </w:pPr>
      <w:r>
        <w:rPr>
          <w:rStyle w:val="label-inner"/>
          <w:rFonts w:ascii="inherit" w:hAnsi="inherit"/>
          <w:color w:val="333333"/>
          <w:sz w:val="23"/>
          <w:szCs w:val="23"/>
        </w:rPr>
        <w:t>•</w:t>
      </w:r>
      <w:r>
        <w:rPr>
          <w:rFonts w:ascii="inherit" w:hAnsi="inherit"/>
          <w:color w:val="333333"/>
          <w:sz w:val="23"/>
          <w:szCs w:val="23"/>
        </w:rPr>
        <w:t> </w:t>
      </w:r>
      <w:proofErr w:type="spellStart"/>
      <w:r>
        <w:rPr>
          <w:rStyle w:val="item"/>
          <w:rFonts w:ascii="inherit" w:hAnsi="inherit"/>
          <w:i/>
          <w:iCs/>
          <w:color w:val="333333"/>
          <w:sz w:val="23"/>
          <w:szCs w:val="23"/>
        </w:rPr>
        <w:t>VM_Unreachable</w:t>
      </w:r>
      <w:proofErr w:type="spellEnd"/>
      <w:r>
        <w:rPr>
          <w:rStyle w:val="item"/>
          <w:rFonts w:ascii="inherit" w:hAnsi="inherit"/>
          <w:color w:val="333333"/>
          <w:sz w:val="23"/>
          <w:szCs w:val="23"/>
        </w:rPr>
        <w:t> – the VIM cannot reach the VM</w:t>
      </w:r>
    </w:p>
    <w:p w:rsidR="004C2FB2" w:rsidRDefault="004C2FB2" w:rsidP="004C2FB2">
      <w:pPr>
        <w:numPr>
          <w:ilvl w:val="0"/>
          <w:numId w:val="2"/>
        </w:numPr>
        <w:spacing w:after="0" w:line="240" w:lineRule="auto"/>
        <w:ind w:left="300"/>
        <w:textAlignment w:val="baseline"/>
        <w:rPr>
          <w:rFonts w:ascii="inherit" w:hAnsi="inherit"/>
          <w:color w:val="333333"/>
          <w:sz w:val="23"/>
          <w:szCs w:val="23"/>
        </w:rPr>
      </w:pPr>
      <w:r>
        <w:rPr>
          <w:rStyle w:val="label-inner"/>
          <w:rFonts w:ascii="inherit" w:hAnsi="inherit"/>
          <w:color w:val="333333"/>
          <w:sz w:val="23"/>
          <w:szCs w:val="23"/>
        </w:rPr>
        <w:t>•</w:t>
      </w:r>
      <w:r>
        <w:rPr>
          <w:rFonts w:ascii="inherit" w:hAnsi="inherit"/>
          <w:color w:val="333333"/>
          <w:sz w:val="23"/>
          <w:szCs w:val="23"/>
        </w:rPr>
        <w:t> </w:t>
      </w:r>
      <w:r>
        <w:rPr>
          <w:rStyle w:val="item"/>
          <w:rFonts w:ascii="inherit" w:hAnsi="inherit"/>
          <w:i/>
          <w:iCs/>
          <w:color w:val="333333"/>
          <w:sz w:val="23"/>
          <w:szCs w:val="23"/>
        </w:rPr>
        <w:t>VM Failure</w:t>
      </w:r>
      <w:r>
        <w:rPr>
          <w:rStyle w:val="item"/>
          <w:rFonts w:ascii="inherit" w:hAnsi="inherit"/>
          <w:color w:val="333333"/>
          <w:sz w:val="23"/>
          <w:szCs w:val="23"/>
        </w:rPr>
        <w:t> – the VM has failed and is unavailable</w:t>
      </w:r>
    </w:p>
    <w:p w:rsidR="004C2FB2" w:rsidRDefault="004C2FB2" w:rsidP="004C2FB2">
      <w:pPr>
        <w:numPr>
          <w:ilvl w:val="0"/>
          <w:numId w:val="2"/>
        </w:numPr>
        <w:spacing w:after="0" w:line="240" w:lineRule="auto"/>
        <w:ind w:left="300"/>
        <w:textAlignment w:val="baseline"/>
        <w:rPr>
          <w:rFonts w:ascii="inherit" w:hAnsi="inherit"/>
          <w:color w:val="333333"/>
          <w:sz w:val="23"/>
          <w:szCs w:val="23"/>
        </w:rPr>
      </w:pPr>
      <w:r>
        <w:rPr>
          <w:rStyle w:val="label-inner"/>
          <w:rFonts w:ascii="inherit" w:hAnsi="inherit"/>
          <w:color w:val="333333"/>
          <w:sz w:val="23"/>
          <w:szCs w:val="23"/>
        </w:rPr>
        <w:t>•</w:t>
      </w:r>
      <w:r>
        <w:rPr>
          <w:rFonts w:ascii="inherit" w:hAnsi="inherit"/>
          <w:color w:val="333333"/>
          <w:sz w:val="23"/>
          <w:szCs w:val="23"/>
        </w:rPr>
        <w:t> </w:t>
      </w:r>
      <w:proofErr w:type="spellStart"/>
      <w:r>
        <w:rPr>
          <w:rStyle w:val="item"/>
          <w:rFonts w:ascii="inherit" w:hAnsi="inherit"/>
          <w:i/>
          <w:iCs/>
          <w:color w:val="333333"/>
          <w:sz w:val="23"/>
          <w:szCs w:val="23"/>
        </w:rPr>
        <w:t>VM_Reachable</w:t>
      </w:r>
      <w:proofErr w:type="spellEnd"/>
      <w:r>
        <w:rPr>
          <w:rStyle w:val="item"/>
          <w:rFonts w:ascii="inherit" w:hAnsi="inherit"/>
          <w:color w:val="333333"/>
          <w:sz w:val="23"/>
          <w:szCs w:val="23"/>
        </w:rPr>
        <w:t> – the VM is reachable</w:t>
      </w:r>
    </w:p>
    <w:p w:rsidR="004C2FB2" w:rsidRDefault="004C2FB2" w:rsidP="004C2FB2">
      <w:pPr>
        <w:rPr>
          <w:rFonts w:ascii="Georgia" w:hAnsi="Georgia"/>
          <w:color w:val="333333"/>
          <w:sz w:val="23"/>
          <w:szCs w:val="23"/>
        </w:rPr>
      </w:pPr>
      <w:r>
        <w:rPr>
          <w:rFonts w:ascii="Georgia" w:hAnsi="Georgia"/>
          <w:color w:val="333333"/>
          <w:sz w:val="23"/>
          <w:szCs w:val="23"/>
        </w:rPr>
        <w:t>The events generated by the polling agent have timestamps that are logged into an SLA event log database and used by the SLA management system to calculate IT resource availability. Complex rules are used to correlate events from different polling SLA monitors and the affected virtual servers, and to discard any false positives for periods of unavailability.</w:t>
      </w:r>
    </w:p>
    <w:p w:rsidR="004C2FB2" w:rsidRDefault="004C2FB2" w:rsidP="004C2FB2">
      <w:pPr>
        <w:rPr>
          <w:rFonts w:ascii="Georgia" w:hAnsi="Georgia"/>
          <w:color w:val="333333"/>
          <w:sz w:val="23"/>
          <w:szCs w:val="23"/>
        </w:rPr>
      </w:pPr>
      <w:hyperlink r:id="rId13" w:anchor="eid9117" w:history="1">
        <w:r>
          <w:rPr>
            <w:rStyle w:val="Hyperlink"/>
            <w:rFonts w:ascii="Georgia" w:hAnsi="Georgia"/>
            <w:b/>
            <w:bCs/>
            <w:color w:val="0D8CD6"/>
            <w:sz w:val="23"/>
            <w:szCs w:val="23"/>
          </w:rPr>
          <w:t>Figures 8.8</w:t>
        </w:r>
      </w:hyperlink>
      <w:r>
        <w:rPr>
          <w:rFonts w:ascii="Georgia" w:hAnsi="Georgia"/>
          <w:color w:val="333333"/>
          <w:sz w:val="23"/>
          <w:szCs w:val="23"/>
        </w:rPr>
        <w:t> and </w:t>
      </w:r>
      <w:hyperlink r:id="rId14" w:anchor="eid9122" w:history="1">
        <w:r>
          <w:rPr>
            <w:rStyle w:val="Hyperlink"/>
            <w:rFonts w:ascii="Georgia" w:hAnsi="Georgia"/>
            <w:b/>
            <w:bCs/>
            <w:color w:val="0D8CD6"/>
            <w:sz w:val="23"/>
            <w:szCs w:val="23"/>
          </w:rPr>
          <w:t>8.9</w:t>
        </w:r>
      </w:hyperlink>
      <w:r>
        <w:rPr>
          <w:rFonts w:ascii="Georgia" w:hAnsi="Georgia"/>
          <w:color w:val="333333"/>
          <w:sz w:val="23"/>
          <w:szCs w:val="23"/>
        </w:rPr>
        <w:t> show the steps taken by SLA monitors during a data center network failure and recovery.</w:t>
      </w:r>
    </w:p>
    <w:p w:rsidR="004C2FB2" w:rsidRDefault="004C2FB2" w:rsidP="004C2FB2">
      <w:pPr>
        <w:spacing w:line="240" w:lineRule="auto"/>
        <w:rPr>
          <w:rFonts w:ascii="Times New Roman" w:eastAsia="Times New Roman" w:hAnsi="Times New Roman" w:cs="Times New Roman"/>
          <w:sz w:val="24"/>
          <w:szCs w:val="24"/>
        </w:rPr>
      </w:pPr>
      <w:r>
        <w:rPr>
          <w:noProof/>
        </w:rPr>
        <w:lastRenderedPageBreak/>
        <w:drawing>
          <wp:inline distT="0" distB="0" distL="0" distR="0" wp14:anchorId="018C933F" wp14:editId="3FC2B7E1">
            <wp:extent cx="4895850" cy="751395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7628"/>
                    <a:stretch/>
                  </pic:blipFill>
                  <pic:spPr bwMode="auto">
                    <a:xfrm>
                      <a:off x="0" y="0"/>
                      <a:ext cx="4895850" cy="7513955"/>
                    </a:xfrm>
                    <a:prstGeom prst="rect">
                      <a:avLst/>
                    </a:prstGeom>
                    <a:ln>
                      <a:noFill/>
                    </a:ln>
                    <a:extLst>
                      <a:ext uri="{53640926-AAD7-44D8-BBD7-CCE9431645EC}">
                        <a14:shadowObscured xmlns:a14="http://schemas.microsoft.com/office/drawing/2010/main"/>
                      </a:ext>
                    </a:extLst>
                  </pic:spPr>
                </pic:pic>
              </a:graphicData>
            </a:graphic>
          </wp:inline>
        </w:drawing>
      </w:r>
    </w:p>
    <w:p w:rsid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 xml:space="preserve">Figure 8.8 </w:t>
      </w:r>
      <w:proofErr w:type="gramStart"/>
      <w:r w:rsidRPr="004C2FB2">
        <w:rPr>
          <w:rFonts w:ascii="Times New Roman" w:eastAsia="Times New Roman" w:hAnsi="Times New Roman" w:cs="Times New Roman"/>
          <w:sz w:val="24"/>
          <w:szCs w:val="24"/>
        </w:rPr>
        <w:t>At</w:t>
      </w:r>
      <w:proofErr w:type="gramEnd"/>
      <w:r w:rsidRPr="004C2FB2">
        <w:rPr>
          <w:rFonts w:ascii="Times New Roman" w:eastAsia="Times New Roman" w:hAnsi="Times New Roman" w:cs="Times New Roman"/>
          <w:sz w:val="24"/>
          <w:szCs w:val="24"/>
        </w:rPr>
        <w:t xml:space="preserve"> timestamp = t1, a firewall cluster has failed and all of the IT resources in the data center become unavailable (1). The SLA monitor polling agent stops receiving responses from physical servers and starts to issue </w:t>
      </w:r>
      <w:proofErr w:type="spellStart"/>
      <w:r w:rsidRPr="004C2FB2">
        <w:rPr>
          <w:rFonts w:ascii="Times New Roman" w:eastAsia="Times New Roman" w:hAnsi="Times New Roman" w:cs="Times New Roman"/>
          <w:sz w:val="24"/>
          <w:szCs w:val="24"/>
        </w:rPr>
        <w:t>PS_timeout</w:t>
      </w:r>
      <w:proofErr w:type="spellEnd"/>
      <w:r w:rsidRPr="004C2FB2">
        <w:rPr>
          <w:rFonts w:ascii="Times New Roman" w:eastAsia="Times New Roman" w:hAnsi="Times New Roman" w:cs="Times New Roman"/>
          <w:sz w:val="24"/>
          <w:szCs w:val="24"/>
        </w:rPr>
        <w:t xml:space="preserve"> events (2). The SLA monitor polling agent starts </w:t>
      </w:r>
      <w:r w:rsidRPr="004C2FB2">
        <w:rPr>
          <w:rFonts w:ascii="Times New Roman" w:eastAsia="Times New Roman" w:hAnsi="Times New Roman" w:cs="Times New Roman"/>
          <w:sz w:val="24"/>
          <w:szCs w:val="24"/>
        </w:rPr>
        <w:lastRenderedPageBreak/>
        <w:t xml:space="preserve">issuing </w:t>
      </w:r>
      <w:proofErr w:type="spellStart"/>
      <w:r w:rsidRPr="004C2FB2">
        <w:rPr>
          <w:rFonts w:ascii="Times New Roman" w:eastAsia="Times New Roman" w:hAnsi="Times New Roman" w:cs="Times New Roman"/>
          <w:sz w:val="24"/>
          <w:szCs w:val="24"/>
        </w:rPr>
        <w:t>PS_unreachable</w:t>
      </w:r>
      <w:proofErr w:type="spellEnd"/>
      <w:r w:rsidRPr="004C2FB2">
        <w:rPr>
          <w:rFonts w:ascii="Times New Roman" w:eastAsia="Times New Roman" w:hAnsi="Times New Roman" w:cs="Times New Roman"/>
          <w:sz w:val="24"/>
          <w:szCs w:val="24"/>
        </w:rPr>
        <w:t xml:space="preserve"> events after three successive </w:t>
      </w:r>
      <w:proofErr w:type="spellStart"/>
      <w:r w:rsidRPr="004C2FB2">
        <w:rPr>
          <w:rFonts w:ascii="Times New Roman" w:eastAsia="Times New Roman" w:hAnsi="Times New Roman" w:cs="Times New Roman"/>
          <w:sz w:val="24"/>
          <w:szCs w:val="24"/>
        </w:rPr>
        <w:t>PS_timeout</w:t>
      </w:r>
      <w:proofErr w:type="spellEnd"/>
      <w:r w:rsidRPr="004C2FB2">
        <w:rPr>
          <w:rFonts w:ascii="Times New Roman" w:eastAsia="Times New Roman" w:hAnsi="Times New Roman" w:cs="Times New Roman"/>
          <w:sz w:val="24"/>
          <w:szCs w:val="24"/>
        </w:rPr>
        <w:t xml:space="preserve"> events. The timestamp is now t2 (3).</w:t>
      </w:r>
    </w:p>
    <w:p w:rsidR="004C2FB2" w:rsidRDefault="004C2FB2" w:rsidP="004C2FB2">
      <w:pPr>
        <w:spacing w:line="240" w:lineRule="auto"/>
        <w:rPr>
          <w:rFonts w:ascii="Times New Roman" w:eastAsia="Times New Roman" w:hAnsi="Times New Roman" w:cs="Times New Roman"/>
          <w:sz w:val="24"/>
          <w:szCs w:val="24"/>
        </w:rPr>
      </w:pPr>
      <w:r>
        <w:rPr>
          <w:noProof/>
        </w:rPr>
        <w:drawing>
          <wp:inline distT="0" distB="0" distL="0" distR="0" wp14:anchorId="01C0AA78" wp14:editId="4C6933D0">
            <wp:extent cx="4114800" cy="642237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118432" cy="6428043"/>
                    </a:xfrm>
                    <a:prstGeom prst="rect">
                      <a:avLst/>
                    </a:prstGeom>
                  </pic:spPr>
                </pic:pic>
              </a:graphicData>
            </a:graphic>
          </wp:inline>
        </w:drawing>
      </w:r>
    </w:p>
    <w:p w:rsidR="004C2FB2" w:rsidRP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 xml:space="preserve">Figure 8.9 The IT resource becomes operational at timestamp = t3 (4). The SLA monitor polling agent receives responses from the physical servers and issues </w:t>
      </w:r>
      <w:proofErr w:type="spellStart"/>
      <w:r w:rsidRPr="004C2FB2">
        <w:rPr>
          <w:rFonts w:ascii="Times New Roman" w:eastAsia="Times New Roman" w:hAnsi="Times New Roman" w:cs="Times New Roman"/>
          <w:sz w:val="24"/>
          <w:szCs w:val="24"/>
        </w:rPr>
        <w:t>PS_reachable</w:t>
      </w:r>
      <w:proofErr w:type="spellEnd"/>
      <w:r w:rsidRPr="004C2FB2">
        <w:rPr>
          <w:rFonts w:ascii="Times New Roman" w:eastAsia="Times New Roman" w:hAnsi="Times New Roman" w:cs="Times New Roman"/>
          <w:sz w:val="24"/>
          <w:szCs w:val="24"/>
        </w:rPr>
        <w:t xml:space="preserve"> events. The timestamp is now t4 (5). The SLA monitoring agent did not detect any unavailability since the communication between the VIM platform and physical servers was not affected by the failure (6).</w:t>
      </w:r>
    </w:p>
    <w:p w:rsidR="004C2FB2" w:rsidRP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lastRenderedPageBreak/>
        <w:t>The SLA management system uses the information stored in the log database to calculate the period of unavailability as t4 – t3, which affected all of the virtual servers in the data center.</w:t>
      </w:r>
    </w:p>
    <w:p w:rsidR="004C2FB2" w:rsidRDefault="004C2FB2" w:rsidP="004C2FB2">
      <w:pPr>
        <w:spacing w:line="240" w:lineRule="auto"/>
        <w:rPr>
          <w:rFonts w:ascii="Times New Roman" w:eastAsia="Times New Roman" w:hAnsi="Times New Roman" w:cs="Times New Roman"/>
          <w:sz w:val="24"/>
          <w:szCs w:val="24"/>
        </w:rPr>
      </w:pPr>
      <w:r w:rsidRPr="004C2FB2">
        <w:rPr>
          <w:rFonts w:ascii="Times New Roman" w:eastAsia="Times New Roman" w:hAnsi="Times New Roman" w:cs="Times New Roman"/>
          <w:sz w:val="24"/>
          <w:szCs w:val="24"/>
        </w:rPr>
        <w:t xml:space="preserve">Figures 8.10 and 8.11 illustrate the steps that are taken by the SLA monitors during the failure and subsequent recovery of a physical server that is hosting three virtual servers (VM1, VM2, </w:t>
      </w:r>
      <w:proofErr w:type="gramStart"/>
      <w:r w:rsidRPr="004C2FB2">
        <w:rPr>
          <w:rFonts w:ascii="Times New Roman" w:eastAsia="Times New Roman" w:hAnsi="Times New Roman" w:cs="Times New Roman"/>
          <w:sz w:val="24"/>
          <w:szCs w:val="24"/>
        </w:rPr>
        <w:t>VM3</w:t>
      </w:r>
      <w:proofErr w:type="gramEnd"/>
      <w:r w:rsidRPr="004C2FB2">
        <w:rPr>
          <w:rFonts w:ascii="Times New Roman" w:eastAsia="Times New Roman" w:hAnsi="Times New Roman" w:cs="Times New Roman"/>
          <w:sz w:val="24"/>
          <w:szCs w:val="24"/>
        </w:rPr>
        <w:t>).</w:t>
      </w:r>
    </w:p>
    <w:p w:rsidR="004C2FB2" w:rsidRDefault="004C2FB2" w:rsidP="004C2FB2">
      <w:pPr>
        <w:spacing w:line="240" w:lineRule="auto"/>
        <w:rPr>
          <w:rFonts w:ascii="Times New Roman" w:eastAsia="Times New Roman" w:hAnsi="Times New Roman" w:cs="Times New Roman"/>
          <w:sz w:val="24"/>
          <w:szCs w:val="24"/>
        </w:rPr>
      </w:pPr>
      <w:r>
        <w:rPr>
          <w:noProof/>
        </w:rPr>
        <w:drawing>
          <wp:inline distT="0" distB="0" distL="0" distR="0" wp14:anchorId="662775B2" wp14:editId="21B7D112">
            <wp:extent cx="5943600" cy="5100320"/>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5100320"/>
                    </a:xfrm>
                    <a:prstGeom prst="rect">
                      <a:avLst/>
                    </a:prstGeom>
                  </pic:spPr>
                </pic:pic>
              </a:graphicData>
            </a:graphic>
          </wp:inline>
        </w:drawing>
      </w:r>
    </w:p>
    <w:p w:rsidR="004C2FB2" w:rsidRDefault="004C2FB2" w:rsidP="004C2FB2">
      <w:pPr>
        <w:spacing w:line="240" w:lineRule="auto"/>
        <w:rPr>
          <w:rFonts w:ascii="Times New Roman" w:eastAsia="Times New Roman" w:hAnsi="Times New Roman" w:cs="Times New Roman"/>
          <w:sz w:val="24"/>
          <w:szCs w:val="24"/>
        </w:rPr>
      </w:pPr>
      <w:r>
        <w:rPr>
          <w:noProof/>
        </w:rPr>
        <w:lastRenderedPageBreak/>
        <w:drawing>
          <wp:inline distT="0" distB="0" distL="0" distR="0" wp14:anchorId="6CCA14A1" wp14:editId="64BE18C8">
            <wp:extent cx="5943600" cy="4625340"/>
            <wp:effectExtent l="0" t="0" r="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3600" cy="4625340"/>
                    </a:xfrm>
                    <a:prstGeom prst="rect">
                      <a:avLst/>
                    </a:prstGeom>
                  </pic:spPr>
                </pic:pic>
              </a:graphicData>
            </a:graphic>
          </wp:inline>
        </w:drawing>
      </w:r>
    </w:p>
    <w:p w:rsidR="004C2FB2" w:rsidRDefault="004C2FB2" w:rsidP="004C2FB2">
      <w:pPr>
        <w:spacing w:line="240" w:lineRule="auto"/>
        <w:rPr>
          <w:rFonts w:ascii="Times New Roman" w:eastAsia="Times New Roman" w:hAnsi="Times New Roman" w:cs="Times New Roman"/>
          <w:sz w:val="24"/>
          <w:szCs w:val="24"/>
        </w:rPr>
      </w:pPr>
    </w:p>
    <w:p w:rsidR="004C2FB2" w:rsidRDefault="004C2FB2" w:rsidP="004C2FB2">
      <w:pPr>
        <w:spacing w:line="240" w:lineRule="auto"/>
        <w:rPr>
          <w:rFonts w:ascii="Times New Roman" w:eastAsia="Times New Roman" w:hAnsi="Times New Roman" w:cs="Times New Roman"/>
          <w:sz w:val="24"/>
          <w:szCs w:val="24"/>
        </w:rPr>
      </w:pPr>
      <w:r>
        <w:rPr>
          <w:noProof/>
        </w:rPr>
        <w:lastRenderedPageBreak/>
        <w:drawing>
          <wp:inline distT="0" distB="0" distL="0" distR="0" wp14:anchorId="3D53E33C" wp14:editId="3428E1D1">
            <wp:extent cx="5943600" cy="40055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4005580"/>
                    </a:xfrm>
                    <a:prstGeom prst="rect">
                      <a:avLst/>
                    </a:prstGeom>
                  </pic:spPr>
                </pic:pic>
              </a:graphicData>
            </a:graphic>
          </wp:inline>
        </w:drawing>
      </w:r>
    </w:p>
    <w:p w:rsidR="004C2FB2" w:rsidRDefault="004C2FB2" w:rsidP="004C2FB2">
      <w:pPr>
        <w:spacing w:line="240" w:lineRule="auto"/>
        <w:rPr>
          <w:rFonts w:ascii="Times New Roman" w:eastAsia="Times New Roman" w:hAnsi="Times New Roman" w:cs="Times New Roman"/>
          <w:sz w:val="24"/>
          <w:szCs w:val="24"/>
        </w:rPr>
      </w:pPr>
      <w:r>
        <w:rPr>
          <w:noProof/>
        </w:rPr>
        <w:drawing>
          <wp:inline distT="0" distB="0" distL="0" distR="0" wp14:anchorId="3B26FFA6" wp14:editId="559E4CB5">
            <wp:extent cx="6676822" cy="31051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680230" cy="3106735"/>
                    </a:xfrm>
                    <a:prstGeom prst="rect">
                      <a:avLst/>
                    </a:prstGeom>
                  </pic:spPr>
                </pic:pic>
              </a:graphicData>
            </a:graphic>
          </wp:inline>
        </w:drawing>
      </w:r>
    </w:p>
    <w:p w:rsidR="004C2FB2" w:rsidRDefault="004C2FB2" w:rsidP="004C2FB2">
      <w:pPr>
        <w:spacing w:line="240" w:lineRule="auto"/>
        <w:rPr>
          <w:rFonts w:ascii="Times New Roman" w:eastAsia="Times New Roman" w:hAnsi="Times New Roman" w:cs="Times New Roman"/>
          <w:sz w:val="24"/>
          <w:szCs w:val="24"/>
        </w:rPr>
      </w:pPr>
    </w:p>
    <w:p w:rsidR="004C2FB2" w:rsidRDefault="004C2FB2" w:rsidP="004C2FB2">
      <w:pPr>
        <w:spacing w:line="240" w:lineRule="auto"/>
        <w:rPr>
          <w:rFonts w:ascii="Times New Roman" w:eastAsia="Times New Roman" w:hAnsi="Times New Roman" w:cs="Times New Roman"/>
          <w:sz w:val="24"/>
          <w:szCs w:val="24"/>
        </w:rPr>
      </w:pPr>
    </w:p>
    <w:p w:rsidR="004C2FB2" w:rsidRDefault="004C2FB2" w:rsidP="004C2FB2">
      <w:pPr>
        <w:spacing w:line="240" w:lineRule="auto"/>
        <w:rPr>
          <w:rFonts w:ascii="Times New Roman" w:eastAsia="Times New Roman" w:hAnsi="Times New Roman" w:cs="Times New Roman"/>
          <w:sz w:val="24"/>
          <w:szCs w:val="24"/>
        </w:rPr>
      </w:pPr>
    </w:p>
    <w:p w:rsidR="004C2FB2" w:rsidRDefault="004C2FB2" w:rsidP="004C2FB2">
      <w:pPr>
        <w:spacing w:line="240" w:lineRule="auto"/>
        <w:rPr>
          <w:rFonts w:ascii="Times New Roman" w:eastAsia="Times New Roman" w:hAnsi="Times New Roman" w:cs="Times New Roman"/>
          <w:sz w:val="24"/>
          <w:szCs w:val="24"/>
        </w:rPr>
      </w:pPr>
      <w:r>
        <w:rPr>
          <w:noProof/>
        </w:rPr>
        <w:lastRenderedPageBreak/>
        <w:drawing>
          <wp:inline distT="0" distB="0" distL="0" distR="0" wp14:anchorId="32A2906B" wp14:editId="0A4C90D8">
            <wp:extent cx="5943600" cy="540512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5405120"/>
                    </a:xfrm>
                    <a:prstGeom prst="rect">
                      <a:avLst/>
                    </a:prstGeom>
                  </pic:spPr>
                </pic:pic>
              </a:graphicData>
            </a:graphic>
          </wp:inline>
        </w:drawing>
      </w:r>
    </w:p>
    <w:p w:rsidR="004C2FB2" w:rsidRDefault="004C2FB2" w:rsidP="004C2FB2">
      <w:pPr>
        <w:spacing w:line="240" w:lineRule="auto"/>
        <w:rPr>
          <w:rFonts w:ascii="Times New Roman" w:eastAsia="Times New Roman" w:hAnsi="Times New Roman" w:cs="Times New Roman"/>
          <w:sz w:val="24"/>
          <w:szCs w:val="24"/>
        </w:rPr>
      </w:pPr>
      <w:r>
        <w:rPr>
          <w:noProof/>
        </w:rPr>
        <w:lastRenderedPageBreak/>
        <w:drawing>
          <wp:inline distT="0" distB="0" distL="0" distR="0" wp14:anchorId="71F351E0" wp14:editId="6FC56227">
            <wp:extent cx="5943600" cy="527875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5278755"/>
                    </a:xfrm>
                    <a:prstGeom prst="rect">
                      <a:avLst/>
                    </a:prstGeom>
                  </pic:spPr>
                </pic:pic>
              </a:graphicData>
            </a:graphic>
          </wp:inline>
        </w:drawing>
      </w:r>
    </w:p>
    <w:p w:rsidR="004C2FB2" w:rsidRDefault="004C2FB2" w:rsidP="004C2FB2">
      <w:pPr>
        <w:spacing w:line="240" w:lineRule="auto"/>
        <w:rPr>
          <w:rFonts w:ascii="Times New Roman" w:eastAsia="Times New Roman" w:hAnsi="Times New Roman" w:cs="Times New Roman"/>
          <w:sz w:val="24"/>
          <w:szCs w:val="24"/>
        </w:rPr>
      </w:pPr>
    </w:p>
    <w:p w:rsidR="004C2FB2" w:rsidRDefault="004C2FB2" w:rsidP="004C2FB2">
      <w:pPr>
        <w:spacing w:line="240" w:lineRule="auto"/>
        <w:rPr>
          <w:rFonts w:ascii="Times New Roman" w:eastAsia="Times New Roman" w:hAnsi="Times New Roman" w:cs="Times New Roman"/>
          <w:sz w:val="24"/>
          <w:szCs w:val="24"/>
        </w:rPr>
      </w:pPr>
      <w:bookmarkStart w:id="0" w:name="_GoBack"/>
      <w:bookmarkEnd w:id="0"/>
    </w:p>
    <w:p w:rsidR="004C2FB2" w:rsidRDefault="004C2FB2" w:rsidP="004C2FB2">
      <w:pPr>
        <w:spacing w:line="240" w:lineRule="auto"/>
        <w:rPr>
          <w:rFonts w:ascii="Times New Roman" w:eastAsia="Times New Roman" w:hAnsi="Times New Roman" w:cs="Times New Roman"/>
          <w:sz w:val="24"/>
          <w:szCs w:val="24"/>
        </w:rPr>
      </w:pPr>
    </w:p>
    <w:p w:rsidR="004C2FB2" w:rsidRPr="004C2FB2" w:rsidRDefault="004C2FB2" w:rsidP="004C2FB2">
      <w:pPr>
        <w:spacing w:line="240" w:lineRule="auto"/>
        <w:rPr>
          <w:rFonts w:ascii="Times New Roman" w:eastAsia="Times New Roman" w:hAnsi="Times New Roman" w:cs="Times New Roman"/>
          <w:sz w:val="24"/>
          <w:szCs w:val="24"/>
        </w:rPr>
      </w:pPr>
      <w:r>
        <w:rPr>
          <w:noProof/>
        </w:rPr>
        <w:drawing>
          <wp:inline distT="0" distB="0" distL="0" distR="0" wp14:anchorId="111336C4" wp14:editId="5A271079">
            <wp:extent cx="5943600" cy="1595120"/>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1595120"/>
                    </a:xfrm>
                    <a:prstGeom prst="rect">
                      <a:avLst/>
                    </a:prstGeom>
                  </pic:spPr>
                </pic:pic>
              </a:graphicData>
            </a:graphic>
          </wp:inline>
        </w:drawing>
      </w:r>
    </w:p>
    <w:sectPr w:rsidR="004C2FB2" w:rsidRPr="004C2F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2D5837"/>
    <w:multiLevelType w:val="multilevel"/>
    <w:tmpl w:val="0DE4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33B0A"/>
    <w:multiLevelType w:val="multilevel"/>
    <w:tmpl w:val="824AE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DQ3NDS2MLIwNzY2MjJT0lEKTi0uzszPAykwrAUA4u+YCiwAAAA="/>
  </w:docVars>
  <w:rsids>
    <w:rsidRoot w:val="004C2FB2"/>
    <w:rsid w:val="004C2FB2"/>
    <w:rsid w:val="007E7579"/>
    <w:rsid w:val="00B2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AECA4"/>
  <w15:chartTrackingRefBased/>
  <w15:docId w15:val="{8E7EDA40-B6FF-444E-9493-156C27CF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C2F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C2FB2"/>
    <w:rPr>
      <w:rFonts w:ascii="Times New Roman" w:eastAsia="Times New Roman" w:hAnsi="Times New Roman" w:cs="Times New Roman"/>
      <w:b/>
      <w:bCs/>
      <w:sz w:val="36"/>
      <w:szCs w:val="36"/>
    </w:rPr>
  </w:style>
  <w:style w:type="character" w:customStyle="1" w:styleId="vst-search-term">
    <w:name w:val="vst-search-term"/>
    <w:basedOn w:val="DefaultParagraphFont"/>
    <w:rsid w:val="004C2FB2"/>
  </w:style>
  <w:style w:type="character" w:styleId="Hyperlink">
    <w:name w:val="Hyperlink"/>
    <w:basedOn w:val="DefaultParagraphFont"/>
    <w:uiPriority w:val="99"/>
    <w:semiHidden/>
    <w:unhideWhenUsed/>
    <w:rsid w:val="004C2FB2"/>
    <w:rPr>
      <w:color w:val="0000FF"/>
      <w:u w:val="single"/>
    </w:rPr>
  </w:style>
  <w:style w:type="character" w:customStyle="1" w:styleId="bi">
    <w:name w:val="bi"/>
    <w:basedOn w:val="DefaultParagraphFont"/>
    <w:rsid w:val="004C2FB2"/>
  </w:style>
  <w:style w:type="character" w:customStyle="1" w:styleId="label-inner">
    <w:name w:val="label-inner"/>
    <w:basedOn w:val="DefaultParagraphFont"/>
    <w:rsid w:val="004C2FB2"/>
  </w:style>
  <w:style w:type="character" w:customStyle="1" w:styleId="item">
    <w:name w:val="item"/>
    <w:basedOn w:val="DefaultParagraphFont"/>
    <w:rsid w:val="004C2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168237">
      <w:bodyDiv w:val="1"/>
      <w:marLeft w:val="0"/>
      <w:marRight w:val="0"/>
      <w:marTop w:val="0"/>
      <w:marBottom w:val="0"/>
      <w:divBdr>
        <w:top w:val="none" w:sz="0" w:space="0" w:color="auto"/>
        <w:left w:val="none" w:sz="0" w:space="0" w:color="auto"/>
        <w:bottom w:val="none" w:sz="0" w:space="0" w:color="auto"/>
        <w:right w:val="none" w:sz="0" w:space="0" w:color="auto"/>
      </w:divBdr>
      <w:divsChild>
        <w:div w:id="1783455414">
          <w:marLeft w:val="0"/>
          <w:marRight w:val="0"/>
          <w:marTop w:val="240"/>
          <w:marBottom w:val="240"/>
          <w:divBdr>
            <w:top w:val="none" w:sz="0" w:space="0" w:color="auto"/>
            <w:left w:val="none" w:sz="0" w:space="0" w:color="auto"/>
            <w:bottom w:val="none" w:sz="0" w:space="0" w:color="auto"/>
            <w:right w:val="none" w:sz="0" w:space="0" w:color="auto"/>
          </w:divBdr>
        </w:div>
      </w:divsChild>
    </w:div>
    <w:div w:id="214778392">
      <w:bodyDiv w:val="1"/>
      <w:marLeft w:val="0"/>
      <w:marRight w:val="0"/>
      <w:marTop w:val="0"/>
      <w:marBottom w:val="0"/>
      <w:divBdr>
        <w:top w:val="none" w:sz="0" w:space="0" w:color="auto"/>
        <w:left w:val="none" w:sz="0" w:space="0" w:color="auto"/>
        <w:bottom w:val="none" w:sz="0" w:space="0" w:color="auto"/>
        <w:right w:val="none" w:sz="0" w:space="0" w:color="auto"/>
      </w:divBdr>
    </w:div>
    <w:div w:id="730933216">
      <w:bodyDiv w:val="1"/>
      <w:marLeft w:val="0"/>
      <w:marRight w:val="0"/>
      <w:marTop w:val="0"/>
      <w:marBottom w:val="0"/>
      <w:divBdr>
        <w:top w:val="none" w:sz="0" w:space="0" w:color="auto"/>
        <w:left w:val="none" w:sz="0" w:space="0" w:color="auto"/>
        <w:bottom w:val="none" w:sz="0" w:space="0" w:color="auto"/>
        <w:right w:val="none" w:sz="0" w:space="0" w:color="auto"/>
      </w:divBdr>
      <w:divsChild>
        <w:div w:id="486242384">
          <w:marLeft w:val="0"/>
          <w:marRight w:val="0"/>
          <w:marTop w:val="240"/>
          <w:marBottom w:val="240"/>
          <w:divBdr>
            <w:top w:val="none" w:sz="0" w:space="0" w:color="auto"/>
            <w:left w:val="none" w:sz="0" w:space="0" w:color="auto"/>
            <w:bottom w:val="none" w:sz="0" w:space="0" w:color="auto"/>
            <w:right w:val="none" w:sz="0" w:space="0" w:color="auto"/>
          </w:divBdr>
        </w:div>
        <w:div w:id="1335692515">
          <w:marLeft w:val="0"/>
          <w:marRight w:val="0"/>
          <w:marTop w:val="240"/>
          <w:marBottom w:val="240"/>
          <w:divBdr>
            <w:top w:val="none" w:sz="0" w:space="0" w:color="auto"/>
            <w:left w:val="none" w:sz="0" w:space="0" w:color="auto"/>
            <w:bottom w:val="none" w:sz="0" w:space="0" w:color="auto"/>
            <w:right w:val="none" w:sz="0" w:space="0" w:color="auto"/>
          </w:divBdr>
        </w:div>
        <w:div w:id="1863938884">
          <w:marLeft w:val="0"/>
          <w:marRight w:val="0"/>
          <w:marTop w:val="240"/>
          <w:marBottom w:val="240"/>
          <w:divBdr>
            <w:top w:val="none" w:sz="0" w:space="0" w:color="auto"/>
            <w:left w:val="none" w:sz="0" w:space="0" w:color="auto"/>
            <w:bottom w:val="none" w:sz="0" w:space="0" w:color="auto"/>
            <w:right w:val="none" w:sz="0" w:space="0" w:color="auto"/>
          </w:divBdr>
        </w:div>
        <w:div w:id="650326755">
          <w:marLeft w:val="0"/>
          <w:marRight w:val="0"/>
          <w:marTop w:val="240"/>
          <w:marBottom w:val="240"/>
          <w:divBdr>
            <w:top w:val="none" w:sz="0" w:space="0" w:color="auto"/>
            <w:left w:val="none" w:sz="0" w:space="0" w:color="auto"/>
            <w:bottom w:val="none" w:sz="0" w:space="0" w:color="auto"/>
            <w:right w:val="none" w:sz="0" w:space="0" w:color="auto"/>
          </w:divBdr>
        </w:div>
        <w:div w:id="284891627">
          <w:marLeft w:val="0"/>
          <w:marRight w:val="0"/>
          <w:marTop w:val="0"/>
          <w:marBottom w:val="0"/>
          <w:divBdr>
            <w:top w:val="none" w:sz="0" w:space="0" w:color="auto"/>
            <w:left w:val="none" w:sz="0" w:space="0" w:color="auto"/>
            <w:bottom w:val="none" w:sz="0" w:space="0" w:color="auto"/>
            <w:right w:val="none" w:sz="0" w:space="0" w:color="auto"/>
          </w:divBdr>
        </w:div>
        <w:div w:id="1768384209">
          <w:marLeft w:val="0"/>
          <w:marRight w:val="0"/>
          <w:marTop w:val="240"/>
          <w:marBottom w:val="240"/>
          <w:divBdr>
            <w:top w:val="none" w:sz="0" w:space="0" w:color="auto"/>
            <w:left w:val="none" w:sz="0" w:space="0" w:color="auto"/>
            <w:bottom w:val="none" w:sz="0" w:space="0" w:color="auto"/>
            <w:right w:val="none" w:sz="0" w:space="0" w:color="auto"/>
          </w:divBdr>
        </w:div>
        <w:div w:id="23874443">
          <w:marLeft w:val="0"/>
          <w:marRight w:val="0"/>
          <w:marTop w:val="240"/>
          <w:marBottom w:val="240"/>
          <w:divBdr>
            <w:top w:val="none" w:sz="0" w:space="0" w:color="auto"/>
            <w:left w:val="none" w:sz="0" w:space="0" w:color="auto"/>
            <w:bottom w:val="none" w:sz="0" w:space="0" w:color="auto"/>
            <w:right w:val="none" w:sz="0" w:space="0" w:color="auto"/>
          </w:divBdr>
        </w:div>
        <w:div w:id="12921307">
          <w:marLeft w:val="0"/>
          <w:marRight w:val="0"/>
          <w:marTop w:val="0"/>
          <w:marBottom w:val="0"/>
          <w:divBdr>
            <w:top w:val="none" w:sz="0" w:space="0" w:color="auto"/>
            <w:left w:val="none" w:sz="0" w:space="0" w:color="auto"/>
            <w:bottom w:val="none" w:sz="0" w:space="0" w:color="auto"/>
            <w:right w:val="none" w:sz="0" w:space="0" w:color="auto"/>
          </w:divBdr>
        </w:div>
        <w:div w:id="1272278147">
          <w:marLeft w:val="0"/>
          <w:marRight w:val="0"/>
          <w:marTop w:val="240"/>
          <w:marBottom w:val="240"/>
          <w:divBdr>
            <w:top w:val="none" w:sz="0" w:space="0" w:color="auto"/>
            <w:left w:val="none" w:sz="0" w:space="0" w:color="auto"/>
            <w:bottom w:val="none" w:sz="0" w:space="0" w:color="auto"/>
            <w:right w:val="none" w:sz="0" w:space="0" w:color="auto"/>
          </w:divBdr>
        </w:div>
        <w:div w:id="1957369015">
          <w:marLeft w:val="0"/>
          <w:marRight w:val="0"/>
          <w:marTop w:val="240"/>
          <w:marBottom w:val="240"/>
          <w:divBdr>
            <w:top w:val="none" w:sz="0" w:space="0" w:color="auto"/>
            <w:left w:val="none" w:sz="0" w:space="0" w:color="auto"/>
            <w:bottom w:val="none" w:sz="0" w:space="0" w:color="auto"/>
            <w:right w:val="none" w:sz="0" w:space="0" w:color="auto"/>
          </w:divBdr>
        </w:div>
      </w:divsChild>
    </w:div>
    <w:div w:id="799953462">
      <w:bodyDiv w:val="1"/>
      <w:marLeft w:val="0"/>
      <w:marRight w:val="0"/>
      <w:marTop w:val="0"/>
      <w:marBottom w:val="0"/>
      <w:divBdr>
        <w:top w:val="none" w:sz="0" w:space="0" w:color="auto"/>
        <w:left w:val="none" w:sz="0" w:space="0" w:color="auto"/>
        <w:bottom w:val="none" w:sz="0" w:space="0" w:color="auto"/>
        <w:right w:val="none" w:sz="0" w:space="0" w:color="auto"/>
      </w:divBdr>
    </w:div>
    <w:div w:id="894004543">
      <w:bodyDiv w:val="1"/>
      <w:marLeft w:val="0"/>
      <w:marRight w:val="0"/>
      <w:marTop w:val="0"/>
      <w:marBottom w:val="0"/>
      <w:divBdr>
        <w:top w:val="none" w:sz="0" w:space="0" w:color="auto"/>
        <w:left w:val="none" w:sz="0" w:space="0" w:color="auto"/>
        <w:bottom w:val="none" w:sz="0" w:space="0" w:color="auto"/>
        <w:right w:val="none" w:sz="0" w:space="0" w:color="auto"/>
      </w:divBdr>
      <w:divsChild>
        <w:div w:id="2442103">
          <w:marLeft w:val="0"/>
          <w:marRight w:val="0"/>
          <w:marTop w:val="240"/>
          <w:marBottom w:val="240"/>
          <w:divBdr>
            <w:top w:val="none" w:sz="0" w:space="0" w:color="auto"/>
            <w:left w:val="none" w:sz="0" w:space="0" w:color="auto"/>
            <w:bottom w:val="none" w:sz="0" w:space="0" w:color="auto"/>
            <w:right w:val="none" w:sz="0" w:space="0" w:color="auto"/>
          </w:divBdr>
        </w:div>
        <w:div w:id="981621827">
          <w:marLeft w:val="0"/>
          <w:marRight w:val="0"/>
          <w:marTop w:val="240"/>
          <w:marBottom w:val="240"/>
          <w:divBdr>
            <w:top w:val="none" w:sz="0" w:space="0" w:color="auto"/>
            <w:left w:val="none" w:sz="0" w:space="0" w:color="auto"/>
            <w:bottom w:val="none" w:sz="0" w:space="0" w:color="auto"/>
            <w:right w:val="none" w:sz="0" w:space="0" w:color="auto"/>
          </w:divBdr>
        </w:div>
        <w:div w:id="507259288">
          <w:marLeft w:val="0"/>
          <w:marRight w:val="0"/>
          <w:marTop w:val="240"/>
          <w:marBottom w:val="240"/>
          <w:divBdr>
            <w:top w:val="none" w:sz="0" w:space="0" w:color="auto"/>
            <w:left w:val="none" w:sz="0" w:space="0" w:color="auto"/>
            <w:bottom w:val="none" w:sz="0" w:space="0" w:color="auto"/>
            <w:right w:val="none" w:sz="0" w:space="0" w:color="auto"/>
          </w:divBdr>
        </w:div>
        <w:div w:id="788428036">
          <w:marLeft w:val="0"/>
          <w:marRight w:val="0"/>
          <w:marTop w:val="240"/>
          <w:marBottom w:val="240"/>
          <w:divBdr>
            <w:top w:val="none" w:sz="0" w:space="0" w:color="auto"/>
            <w:left w:val="none" w:sz="0" w:space="0" w:color="auto"/>
            <w:bottom w:val="none" w:sz="0" w:space="0" w:color="auto"/>
            <w:right w:val="none" w:sz="0" w:space="0" w:color="auto"/>
          </w:divBdr>
        </w:div>
        <w:div w:id="1082802862">
          <w:marLeft w:val="0"/>
          <w:marRight w:val="0"/>
          <w:marTop w:val="240"/>
          <w:marBottom w:val="240"/>
          <w:divBdr>
            <w:top w:val="none" w:sz="0" w:space="0" w:color="auto"/>
            <w:left w:val="none" w:sz="0" w:space="0" w:color="auto"/>
            <w:bottom w:val="none" w:sz="0" w:space="0" w:color="auto"/>
            <w:right w:val="none" w:sz="0" w:space="0" w:color="auto"/>
          </w:divBdr>
        </w:div>
      </w:divsChild>
    </w:div>
    <w:div w:id="1043333414">
      <w:bodyDiv w:val="1"/>
      <w:marLeft w:val="0"/>
      <w:marRight w:val="0"/>
      <w:marTop w:val="0"/>
      <w:marBottom w:val="0"/>
      <w:divBdr>
        <w:top w:val="none" w:sz="0" w:space="0" w:color="auto"/>
        <w:left w:val="none" w:sz="0" w:space="0" w:color="auto"/>
        <w:bottom w:val="none" w:sz="0" w:space="0" w:color="auto"/>
        <w:right w:val="none" w:sz="0" w:space="0" w:color="auto"/>
      </w:divBdr>
      <w:divsChild>
        <w:div w:id="1018312431">
          <w:marLeft w:val="0"/>
          <w:marRight w:val="0"/>
          <w:marTop w:val="240"/>
          <w:marBottom w:val="240"/>
          <w:divBdr>
            <w:top w:val="none" w:sz="0" w:space="0" w:color="auto"/>
            <w:left w:val="none" w:sz="0" w:space="0" w:color="auto"/>
            <w:bottom w:val="none" w:sz="0" w:space="0" w:color="auto"/>
            <w:right w:val="none" w:sz="0" w:space="0" w:color="auto"/>
          </w:divBdr>
        </w:div>
        <w:div w:id="311256052">
          <w:marLeft w:val="0"/>
          <w:marRight w:val="0"/>
          <w:marTop w:val="240"/>
          <w:marBottom w:val="240"/>
          <w:divBdr>
            <w:top w:val="none" w:sz="0" w:space="0" w:color="auto"/>
            <w:left w:val="none" w:sz="0" w:space="0" w:color="auto"/>
            <w:bottom w:val="none" w:sz="0" w:space="0" w:color="auto"/>
            <w:right w:val="none" w:sz="0" w:space="0" w:color="auto"/>
          </w:divBdr>
        </w:div>
        <w:div w:id="641160629">
          <w:marLeft w:val="0"/>
          <w:marRight w:val="0"/>
          <w:marTop w:val="240"/>
          <w:marBottom w:val="240"/>
          <w:divBdr>
            <w:top w:val="none" w:sz="0" w:space="0" w:color="auto"/>
            <w:left w:val="none" w:sz="0" w:space="0" w:color="auto"/>
            <w:bottom w:val="none" w:sz="0" w:space="0" w:color="auto"/>
            <w:right w:val="none" w:sz="0" w:space="0" w:color="auto"/>
          </w:divBdr>
        </w:div>
        <w:div w:id="894436884">
          <w:marLeft w:val="0"/>
          <w:marRight w:val="0"/>
          <w:marTop w:val="240"/>
          <w:marBottom w:val="240"/>
          <w:divBdr>
            <w:top w:val="none" w:sz="0" w:space="0" w:color="auto"/>
            <w:left w:val="none" w:sz="0" w:space="0" w:color="auto"/>
            <w:bottom w:val="none" w:sz="0" w:space="0" w:color="auto"/>
            <w:right w:val="none" w:sz="0" w:space="0" w:color="auto"/>
          </w:divBdr>
        </w:div>
        <w:div w:id="949701277">
          <w:marLeft w:val="0"/>
          <w:marRight w:val="0"/>
          <w:marTop w:val="240"/>
          <w:marBottom w:val="240"/>
          <w:divBdr>
            <w:top w:val="none" w:sz="0" w:space="0" w:color="auto"/>
            <w:left w:val="none" w:sz="0" w:space="0" w:color="auto"/>
            <w:bottom w:val="none" w:sz="0" w:space="0" w:color="auto"/>
            <w:right w:val="none" w:sz="0" w:space="0" w:color="auto"/>
          </w:divBdr>
        </w:div>
        <w:div w:id="127431452">
          <w:marLeft w:val="0"/>
          <w:marRight w:val="0"/>
          <w:marTop w:val="0"/>
          <w:marBottom w:val="0"/>
          <w:divBdr>
            <w:top w:val="single" w:sz="12" w:space="0" w:color="DBDBDB"/>
            <w:left w:val="single" w:sz="12" w:space="0" w:color="DBDBDB"/>
            <w:bottom w:val="single" w:sz="12" w:space="0" w:color="DBDBDB"/>
            <w:right w:val="single" w:sz="12" w:space="0" w:color="DBDBDB"/>
          </w:divBdr>
          <w:divsChild>
            <w:div w:id="2055034402">
              <w:marLeft w:val="0"/>
              <w:marRight w:val="0"/>
              <w:marTop w:val="240"/>
              <w:marBottom w:val="240"/>
              <w:divBdr>
                <w:top w:val="none" w:sz="0" w:space="0" w:color="auto"/>
                <w:left w:val="none" w:sz="0" w:space="0" w:color="auto"/>
                <w:bottom w:val="none" w:sz="0" w:space="0" w:color="auto"/>
                <w:right w:val="none" w:sz="0" w:space="0" w:color="auto"/>
              </w:divBdr>
            </w:div>
          </w:divsChild>
        </w:div>
        <w:div w:id="320431266">
          <w:marLeft w:val="0"/>
          <w:marRight w:val="0"/>
          <w:marTop w:val="240"/>
          <w:marBottom w:val="240"/>
          <w:divBdr>
            <w:top w:val="none" w:sz="0" w:space="0" w:color="auto"/>
            <w:left w:val="none" w:sz="0" w:space="0" w:color="auto"/>
            <w:bottom w:val="none" w:sz="0" w:space="0" w:color="auto"/>
            <w:right w:val="none" w:sz="0" w:space="0" w:color="auto"/>
          </w:divBdr>
        </w:div>
        <w:div w:id="809446586">
          <w:marLeft w:val="0"/>
          <w:marRight w:val="0"/>
          <w:marTop w:val="240"/>
          <w:marBottom w:val="240"/>
          <w:divBdr>
            <w:top w:val="none" w:sz="0" w:space="0" w:color="auto"/>
            <w:left w:val="none" w:sz="0" w:space="0" w:color="auto"/>
            <w:bottom w:val="none" w:sz="0" w:space="0" w:color="auto"/>
            <w:right w:val="none" w:sz="0" w:space="0" w:color="auto"/>
          </w:divBdr>
        </w:div>
        <w:div w:id="1690184359">
          <w:marLeft w:val="0"/>
          <w:marRight w:val="0"/>
          <w:marTop w:val="240"/>
          <w:marBottom w:val="240"/>
          <w:divBdr>
            <w:top w:val="none" w:sz="0" w:space="0" w:color="auto"/>
            <w:left w:val="none" w:sz="0" w:space="0" w:color="auto"/>
            <w:bottom w:val="none" w:sz="0" w:space="0" w:color="auto"/>
            <w:right w:val="none" w:sz="0" w:space="0" w:color="auto"/>
          </w:divBdr>
        </w:div>
        <w:div w:id="1752118970">
          <w:marLeft w:val="0"/>
          <w:marRight w:val="0"/>
          <w:marTop w:val="240"/>
          <w:marBottom w:val="240"/>
          <w:divBdr>
            <w:top w:val="none" w:sz="0" w:space="0" w:color="auto"/>
            <w:left w:val="none" w:sz="0" w:space="0" w:color="auto"/>
            <w:bottom w:val="none" w:sz="0" w:space="0" w:color="auto"/>
            <w:right w:val="none" w:sz="0" w:space="0" w:color="auto"/>
          </w:divBdr>
        </w:div>
        <w:div w:id="85618403">
          <w:marLeft w:val="0"/>
          <w:marRight w:val="0"/>
          <w:marTop w:val="240"/>
          <w:marBottom w:val="240"/>
          <w:divBdr>
            <w:top w:val="none" w:sz="0" w:space="0" w:color="auto"/>
            <w:left w:val="none" w:sz="0" w:space="0" w:color="auto"/>
            <w:bottom w:val="none" w:sz="0" w:space="0" w:color="auto"/>
            <w:right w:val="none" w:sz="0" w:space="0" w:color="auto"/>
          </w:divBdr>
        </w:div>
        <w:div w:id="498740735">
          <w:marLeft w:val="0"/>
          <w:marRight w:val="0"/>
          <w:marTop w:val="240"/>
          <w:marBottom w:val="240"/>
          <w:divBdr>
            <w:top w:val="none" w:sz="0" w:space="0" w:color="auto"/>
            <w:left w:val="none" w:sz="0" w:space="0" w:color="auto"/>
            <w:bottom w:val="none" w:sz="0" w:space="0" w:color="auto"/>
            <w:right w:val="none" w:sz="0" w:space="0" w:color="auto"/>
          </w:divBdr>
        </w:div>
        <w:div w:id="419643967">
          <w:marLeft w:val="0"/>
          <w:marRight w:val="0"/>
          <w:marTop w:val="240"/>
          <w:marBottom w:val="240"/>
          <w:divBdr>
            <w:top w:val="none" w:sz="0" w:space="0" w:color="auto"/>
            <w:left w:val="none" w:sz="0" w:space="0" w:color="auto"/>
            <w:bottom w:val="none" w:sz="0" w:space="0" w:color="auto"/>
            <w:right w:val="none" w:sz="0" w:space="0" w:color="auto"/>
          </w:divBdr>
        </w:div>
        <w:div w:id="78524029">
          <w:marLeft w:val="0"/>
          <w:marRight w:val="0"/>
          <w:marTop w:val="240"/>
          <w:marBottom w:val="240"/>
          <w:divBdr>
            <w:top w:val="none" w:sz="0" w:space="0" w:color="auto"/>
            <w:left w:val="none" w:sz="0" w:space="0" w:color="auto"/>
            <w:bottom w:val="none" w:sz="0" w:space="0" w:color="auto"/>
            <w:right w:val="none" w:sz="0" w:space="0" w:color="auto"/>
          </w:divBdr>
        </w:div>
        <w:div w:id="1274479037">
          <w:marLeft w:val="0"/>
          <w:marRight w:val="0"/>
          <w:marTop w:val="0"/>
          <w:marBottom w:val="0"/>
          <w:divBdr>
            <w:top w:val="none" w:sz="0" w:space="0" w:color="auto"/>
            <w:left w:val="none" w:sz="0" w:space="0" w:color="auto"/>
            <w:bottom w:val="none" w:sz="0" w:space="0" w:color="auto"/>
            <w:right w:val="none" w:sz="0" w:space="0" w:color="auto"/>
          </w:divBdr>
        </w:div>
        <w:div w:id="1113867319">
          <w:marLeft w:val="0"/>
          <w:marRight w:val="0"/>
          <w:marTop w:val="240"/>
          <w:marBottom w:val="240"/>
          <w:divBdr>
            <w:top w:val="none" w:sz="0" w:space="0" w:color="auto"/>
            <w:left w:val="none" w:sz="0" w:space="0" w:color="auto"/>
            <w:bottom w:val="none" w:sz="0" w:space="0" w:color="auto"/>
            <w:right w:val="none" w:sz="0" w:space="0" w:color="auto"/>
          </w:divBdr>
        </w:div>
        <w:div w:id="183713057">
          <w:marLeft w:val="0"/>
          <w:marRight w:val="0"/>
          <w:marTop w:val="240"/>
          <w:marBottom w:val="240"/>
          <w:divBdr>
            <w:top w:val="none" w:sz="0" w:space="0" w:color="auto"/>
            <w:left w:val="none" w:sz="0" w:space="0" w:color="auto"/>
            <w:bottom w:val="none" w:sz="0" w:space="0" w:color="auto"/>
            <w:right w:val="none" w:sz="0" w:space="0" w:color="auto"/>
          </w:divBdr>
        </w:div>
      </w:divsChild>
    </w:div>
    <w:div w:id="1225599242">
      <w:bodyDiv w:val="1"/>
      <w:marLeft w:val="0"/>
      <w:marRight w:val="0"/>
      <w:marTop w:val="0"/>
      <w:marBottom w:val="0"/>
      <w:divBdr>
        <w:top w:val="none" w:sz="0" w:space="0" w:color="auto"/>
        <w:left w:val="none" w:sz="0" w:space="0" w:color="auto"/>
        <w:bottom w:val="none" w:sz="0" w:space="0" w:color="auto"/>
        <w:right w:val="none" w:sz="0" w:space="0" w:color="auto"/>
      </w:divBdr>
      <w:divsChild>
        <w:div w:id="169755808">
          <w:marLeft w:val="0"/>
          <w:marRight w:val="0"/>
          <w:marTop w:val="0"/>
          <w:marBottom w:val="0"/>
          <w:divBdr>
            <w:top w:val="single" w:sz="12" w:space="0" w:color="DBDBDB"/>
            <w:left w:val="single" w:sz="12" w:space="0" w:color="DBDBDB"/>
            <w:bottom w:val="single" w:sz="12" w:space="0" w:color="DBDBDB"/>
            <w:right w:val="single" w:sz="12" w:space="0" w:color="DBDBDB"/>
          </w:divBdr>
          <w:divsChild>
            <w:div w:id="1607805114">
              <w:marLeft w:val="0"/>
              <w:marRight w:val="0"/>
              <w:marTop w:val="240"/>
              <w:marBottom w:val="240"/>
              <w:divBdr>
                <w:top w:val="none" w:sz="0" w:space="0" w:color="auto"/>
                <w:left w:val="none" w:sz="0" w:space="0" w:color="auto"/>
                <w:bottom w:val="none" w:sz="0" w:space="0" w:color="auto"/>
                <w:right w:val="none" w:sz="0" w:space="0" w:color="auto"/>
              </w:divBdr>
            </w:div>
          </w:divsChild>
        </w:div>
        <w:div w:id="1090929020">
          <w:marLeft w:val="0"/>
          <w:marRight w:val="0"/>
          <w:marTop w:val="240"/>
          <w:marBottom w:val="240"/>
          <w:divBdr>
            <w:top w:val="none" w:sz="0" w:space="0" w:color="auto"/>
            <w:left w:val="none" w:sz="0" w:space="0" w:color="auto"/>
            <w:bottom w:val="none" w:sz="0" w:space="0" w:color="auto"/>
            <w:right w:val="none" w:sz="0" w:space="0" w:color="auto"/>
          </w:divBdr>
        </w:div>
        <w:div w:id="1086849314">
          <w:marLeft w:val="0"/>
          <w:marRight w:val="0"/>
          <w:marTop w:val="240"/>
          <w:marBottom w:val="240"/>
          <w:divBdr>
            <w:top w:val="none" w:sz="0" w:space="0" w:color="auto"/>
            <w:left w:val="none" w:sz="0" w:space="0" w:color="auto"/>
            <w:bottom w:val="none" w:sz="0" w:space="0" w:color="auto"/>
            <w:right w:val="none" w:sz="0" w:space="0" w:color="auto"/>
          </w:divBdr>
        </w:div>
        <w:div w:id="199444578">
          <w:marLeft w:val="0"/>
          <w:marRight w:val="0"/>
          <w:marTop w:val="240"/>
          <w:marBottom w:val="240"/>
          <w:divBdr>
            <w:top w:val="none" w:sz="0" w:space="0" w:color="auto"/>
            <w:left w:val="none" w:sz="0" w:space="0" w:color="auto"/>
            <w:bottom w:val="none" w:sz="0" w:space="0" w:color="auto"/>
            <w:right w:val="none" w:sz="0" w:space="0" w:color="auto"/>
          </w:divBdr>
        </w:div>
        <w:div w:id="1910530974">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gitalbookshelf-jigsaw.southuniversity.edu/books/9781323021033/epub/OPS/loc_010.xhtml" TargetMode="External"/><Relationship Id="rId13" Type="http://schemas.openxmlformats.org/officeDocument/2006/relationships/hyperlink" Target="https://digitalbookshelf-jigsaw.southuniversity.edu/books/9781323021033/epub/OPS/loc_015.xhtml" TargetMode="External"/><Relationship Id="rId18"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image" Target="media/image10.png"/><Relationship Id="rId7" Type="http://schemas.openxmlformats.org/officeDocument/2006/relationships/hyperlink" Target="https://digitalbookshelf-jigsaw.southuniversity.edu/books/9781323021033/epub/OPS/loc_010.xhtml" TargetMode="Externa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igitalbookshelf-jigsaw.southuniversity.edu/books/9781323021033/epub/OPS/loc_014.xhtml" TargetMode="External"/><Relationship Id="rId24" Type="http://schemas.openxmlformats.org/officeDocument/2006/relationships/fontTable" Target="fontTable.xml"/><Relationship Id="rId5" Type="http://schemas.openxmlformats.org/officeDocument/2006/relationships/hyperlink" Target="https://digitalbookshelf-jigsaw.southuniversity.edu/books/9781323021033/epub/OPS/loc_010.xhtml" TargetMode="External"/><Relationship Id="rId15" Type="http://schemas.openxmlformats.org/officeDocument/2006/relationships/image" Target="media/image4.png"/><Relationship Id="rId23" Type="http://schemas.openxmlformats.org/officeDocument/2006/relationships/image" Target="media/image12.png"/><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webSettings" Target="webSettings.xml"/><Relationship Id="rId9" Type="http://schemas.openxmlformats.org/officeDocument/2006/relationships/hyperlink" Target="https://digitalbookshelf-jigsaw.southuniversity.edu/books/9781323021033/epub/OPS/loc_009.xhtml" TargetMode="External"/><Relationship Id="rId14" Type="http://schemas.openxmlformats.org/officeDocument/2006/relationships/hyperlink" Target="https://digitalbookshelf-jigsaw.southuniversity.edu/books/9781323021033/epub/OPS/loc_015.xhtml" TargetMode="External"/><Relationship Id="rId22"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12</Pages>
  <Words>1152</Words>
  <Characters>6571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TRHS</Company>
  <LinksUpToDate>false</LinksUpToDate>
  <CharactersWithSpaces>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Mathis</dc:creator>
  <cp:keywords/>
  <dc:description/>
  <cp:lastModifiedBy>Shannon Mathis</cp:lastModifiedBy>
  <cp:revision>1</cp:revision>
  <dcterms:created xsi:type="dcterms:W3CDTF">2019-05-07T14:03:00Z</dcterms:created>
  <dcterms:modified xsi:type="dcterms:W3CDTF">2019-05-07T14:40:00Z</dcterms:modified>
</cp:coreProperties>
</file>